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0B9" w:rsidRPr="00DC3355" w:rsidRDefault="000C5A3A" w:rsidP="00FB32C3">
      <w:pPr>
        <w:jc w:val="both"/>
        <w:rPr>
          <w:rFonts w:ascii="Times New Roman" w:hAnsi="Times New Roman" w:cs="Times New Roman"/>
          <w:b/>
          <w:sz w:val="32"/>
        </w:rPr>
      </w:pPr>
      <w:bookmarkStart w:id="0" w:name="_GoBack"/>
      <w:bookmarkEnd w:id="0"/>
      <w:r w:rsidRPr="000C5A3A">
        <w:rPr>
          <w:rFonts w:ascii="Times New Roman" w:hAnsi="Times New Roman" w:cs="Times New Roman"/>
          <w:b/>
          <w:sz w:val="32"/>
        </w:rPr>
        <w:t xml:space="preserve">Boala polichistică renală autozomal dominantă </w:t>
      </w:r>
      <w:r>
        <w:rPr>
          <w:rFonts w:ascii="Times New Roman" w:hAnsi="Times New Roman" w:cs="Times New Roman"/>
          <w:b/>
          <w:sz w:val="32"/>
        </w:rPr>
        <w:t>(ADPKD</w:t>
      </w:r>
      <w:r w:rsidR="00DC3355" w:rsidRPr="00DC3355">
        <w:rPr>
          <w:rFonts w:ascii="Times New Roman" w:hAnsi="Times New Roman" w:cs="Times New Roman"/>
          <w:b/>
          <w:sz w:val="32"/>
        </w:rPr>
        <w:t>)</w:t>
      </w:r>
    </w:p>
    <w:p w:rsidR="00DC3355" w:rsidRPr="00EC098F" w:rsidRDefault="00DC3355" w:rsidP="00FB32C3">
      <w:pPr>
        <w:pStyle w:val="ListParagraph"/>
        <w:numPr>
          <w:ilvl w:val="0"/>
          <w:numId w:val="1"/>
        </w:numPr>
        <w:jc w:val="both"/>
        <w:rPr>
          <w:rFonts w:ascii="Times New Roman" w:hAnsi="Times New Roman" w:cs="Times New Roman"/>
          <w:b/>
          <w:sz w:val="24"/>
          <w:szCs w:val="24"/>
        </w:rPr>
      </w:pPr>
      <w:r w:rsidRPr="00EC098F">
        <w:rPr>
          <w:rFonts w:ascii="Times New Roman" w:hAnsi="Times New Roman" w:cs="Times New Roman"/>
          <w:b/>
          <w:sz w:val="24"/>
          <w:szCs w:val="24"/>
        </w:rPr>
        <w:t>Definiția clinică</w:t>
      </w:r>
    </w:p>
    <w:p w:rsidR="000C5A3A" w:rsidRDefault="00584826" w:rsidP="000C5A3A">
      <w:pPr>
        <w:jc w:val="both"/>
        <w:rPr>
          <w:rFonts w:ascii="Times New Roman" w:hAnsi="Times New Roman" w:cs="Times New Roman"/>
          <w:sz w:val="24"/>
        </w:rPr>
      </w:pPr>
      <w:r>
        <w:rPr>
          <w:rFonts w:ascii="Times New Roman" w:hAnsi="Times New Roman" w:cs="Times New Roman"/>
          <w:b/>
          <w:sz w:val="24"/>
        </w:rPr>
        <w:t>Boala polichistică renală</w:t>
      </w:r>
      <w:r w:rsidR="000C5A3A">
        <w:rPr>
          <w:rFonts w:ascii="Times New Roman" w:hAnsi="Times New Roman" w:cs="Times New Roman"/>
          <w:b/>
          <w:sz w:val="24"/>
        </w:rPr>
        <w:t>, cu transmitere autozomal dominantă (ADPKD</w:t>
      </w:r>
      <w:r w:rsidR="003A050D">
        <w:rPr>
          <w:rFonts w:ascii="Times New Roman" w:hAnsi="Times New Roman" w:cs="Times New Roman"/>
          <w:b/>
          <w:sz w:val="24"/>
        </w:rPr>
        <w:t>)</w:t>
      </w:r>
      <w:r w:rsidR="003A050D">
        <w:rPr>
          <w:rFonts w:ascii="Times New Roman" w:hAnsi="Times New Roman" w:cs="Times New Roman"/>
          <w:sz w:val="24"/>
        </w:rPr>
        <w:t xml:space="preserve"> </w:t>
      </w:r>
      <w:r>
        <w:rPr>
          <w:rFonts w:ascii="Times New Roman" w:hAnsi="Times New Roman" w:cs="Times New Roman"/>
          <w:sz w:val="24"/>
        </w:rPr>
        <w:t xml:space="preserve">reprezintă o boală </w:t>
      </w:r>
      <w:r w:rsidR="000C5A3A">
        <w:rPr>
          <w:rFonts w:ascii="Times New Roman" w:hAnsi="Times New Roman" w:cs="Times New Roman"/>
          <w:sz w:val="24"/>
        </w:rPr>
        <w:t>genetică</w:t>
      </w:r>
      <w:r>
        <w:rPr>
          <w:rFonts w:ascii="Times New Roman" w:hAnsi="Times New Roman" w:cs="Times New Roman"/>
          <w:sz w:val="24"/>
        </w:rPr>
        <w:t xml:space="preserve"> frecventă</w:t>
      </w:r>
      <w:r w:rsidR="000C5A3A">
        <w:rPr>
          <w:rFonts w:ascii="Times New Roman" w:hAnsi="Times New Roman" w:cs="Times New Roman"/>
          <w:sz w:val="24"/>
        </w:rPr>
        <w:t xml:space="preserve">, caracterizată printr-o afectare sistemică, </w:t>
      </w:r>
      <w:r>
        <w:rPr>
          <w:rFonts w:ascii="Times New Roman" w:hAnsi="Times New Roman" w:cs="Times New Roman"/>
          <w:sz w:val="24"/>
        </w:rPr>
        <w:t xml:space="preserve">cu </w:t>
      </w:r>
      <w:r w:rsidR="000C5A3A">
        <w:rPr>
          <w:rFonts w:ascii="Times New Roman" w:hAnsi="Times New Roman" w:cs="Times New Roman"/>
          <w:sz w:val="24"/>
        </w:rPr>
        <w:t xml:space="preserve">apariția a multiple formațiuni chistice la nivelul mai multor organe: rinichi, ficat, </w:t>
      </w:r>
      <w:r>
        <w:rPr>
          <w:rFonts w:ascii="Times New Roman" w:hAnsi="Times New Roman" w:cs="Times New Roman"/>
          <w:sz w:val="24"/>
        </w:rPr>
        <w:t xml:space="preserve">pancreas și anevrisme (dilatări) ale </w:t>
      </w:r>
      <w:r w:rsidR="000C5A3A">
        <w:rPr>
          <w:rFonts w:ascii="Times New Roman" w:hAnsi="Times New Roman" w:cs="Times New Roman"/>
          <w:sz w:val="24"/>
        </w:rPr>
        <w:t>vase</w:t>
      </w:r>
      <w:r>
        <w:rPr>
          <w:rFonts w:ascii="Times New Roman" w:hAnsi="Times New Roman" w:cs="Times New Roman"/>
          <w:sz w:val="24"/>
        </w:rPr>
        <w:t>lor</w:t>
      </w:r>
      <w:r w:rsidR="000C5A3A">
        <w:rPr>
          <w:rFonts w:ascii="Times New Roman" w:hAnsi="Times New Roman" w:cs="Times New Roman"/>
          <w:sz w:val="24"/>
        </w:rPr>
        <w:t xml:space="preserve"> de sânge.</w:t>
      </w:r>
    </w:p>
    <w:p w:rsidR="00DC3355" w:rsidRPr="000C5A3A" w:rsidRDefault="00DC3355" w:rsidP="000C5A3A">
      <w:pPr>
        <w:pStyle w:val="ListParagraph"/>
        <w:numPr>
          <w:ilvl w:val="0"/>
          <w:numId w:val="1"/>
        </w:numPr>
        <w:jc w:val="both"/>
        <w:rPr>
          <w:rFonts w:ascii="Times New Roman" w:hAnsi="Times New Roman" w:cs="Times New Roman"/>
          <w:b/>
          <w:sz w:val="24"/>
          <w:szCs w:val="24"/>
        </w:rPr>
      </w:pPr>
      <w:r w:rsidRPr="000C5A3A">
        <w:rPr>
          <w:rFonts w:ascii="Times New Roman" w:hAnsi="Times New Roman" w:cs="Times New Roman"/>
          <w:b/>
          <w:sz w:val="24"/>
          <w:szCs w:val="24"/>
        </w:rPr>
        <w:t>Frecvența bolii</w:t>
      </w:r>
    </w:p>
    <w:p w:rsidR="00EC098F" w:rsidRPr="00EC098F" w:rsidRDefault="000C5A3A" w:rsidP="00FB32C3">
      <w:pPr>
        <w:jc w:val="both"/>
        <w:rPr>
          <w:rFonts w:ascii="Times New Roman" w:hAnsi="Times New Roman" w:cs="Times New Roman"/>
          <w:sz w:val="24"/>
          <w:szCs w:val="24"/>
        </w:rPr>
      </w:pPr>
      <w:r>
        <w:rPr>
          <w:rFonts w:ascii="Times New Roman" w:hAnsi="Times New Roman" w:cs="Times New Roman"/>
          <w:sz w:val="24"/>
          <w:szCs w:val="24"/>
        </w:rPr>
        <w:t>Boala polichistică renală cu transmitere autozomal dominant</w:t>
      </w:r>
      <w:r w:rsidR="00584826">
        <w:rPr>
          <w:rFonts w:ascii="Times New Roman" w:hAnsi="Times New Roman" w:cs="Times New Roman"/>
          <w:sz w:val="24"/>
          <w:szCs w:val="24"/>
        </w:rPr>
        <w:t>ă este o boală genetică frecvent întâlnită în populația generală, cu o prevalență de 1:500 – 1:1000.</w:t>
      </w:r>
    </w:p>
    <w:p w:rsidR="00DC3355" w:rsidRDefault="00DC3355" w:rsidP="00FB32C3">
      <w:pPr>
        <w:pStyle w:val="ListParagraph"/>
        <w:numPr>
          <w:ilvl w:val="0"/>
          <w:numId w:val="1"/>
        </w:numPr>
        <w:jc w:val="both"/>
        <w:rPr>
          <w:rFonts w:ascii="Times New Roman" w:hAnsi="Times New Roman" w:cs="Times New Roman"/>
          <w:b/>
          <w:sz w:val="24"/>
          <w:szCs w:val="24"/>
        </w:rPr>
      </w:pPr>
      <w:r w:rsidRPr="00EC098F">
        <w:rPr>
          <w:rFonts w:ascii="Times New Roman" w:hAnsi="Times New Roman" w:cs="Times New Roman"/>
          <w:b/>
          <w:sz w:val="24"/>
          <w:szCs w:val="24"/>
        </w:rPr>
        <w:t>Aspecte genetice</w:t>
      </w:r>
    </w:p>
    <w:p w:rsidR="00EC098F" w:rsidRPr="003A050D" w:rsidRDefault="00175ADF" w:rsidP="00BC7C5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ADPKD </w:t>
      </w:r>
      <w:r w:rsidR="003A050D">
        <w:rPr>
          <w:rFonts w:ascii="Times New Roman" w:hAnsi="Times New Roman" w:cs="Times New Roman"/>
          <w:sz w:val="24"/>
          <w:szCs w:val="24"/>
        </w:rPr>
        <w:t>este o boală genetic</w:t>
      </w:r>
      <w:r>
        <w:rPr>
          <w:rFonts w:ascii="Times New Roman" w:hAnsi="Times New Roman" w:cs="Times New Roman"/>
          <w:sz w:val="24"/>
          <w:szCs w:val="24"/>
        </w:rPr>
        <w:t>ă, cauzată de mutații localizate la nivelul mai multor gene</w:t>
      </w:r>
      <w:r w:rsidR="003A050D">
        <w:rPr>
          <w:rFonts w:ascii="Times New Roman" w:hAnsi="Times New Roman" w:cs="Times New Roman"/>
          <w:sz w:val="24"/>
          <w:szCs w:val="24"/>
        </w:rPr>
        <w:t xml:space="preserve">. </w:t>
      </w:r>
      <w:r>
        <w:rPr>
          <w:rFonts w:ascii="Times New Roman" w:hAnsi="Times New Roman" w:cs="Times New Roman"/>
          <w:sz w:val="24"/>
          <w:szCs w:val="24"/>
        </w:rPr>
        <w:t xml:space="preserve">Principalele gene implicate sunt </w:t>
      </w:r>
      <w:r>
        <w:rPr>
          <w:rFonts w:ascii="Times New Roman" w:hAnsi="Times New Roman" w:cs="Times New Roman"/>
          <w:i/>
          <w:sz w:val="24"/>
          <w:szCs w:val="24"/>
        </w:rPr>
        <w:t xml:space="preserve">PKD1 </w:t>
      </w:r>
      <w:r>
        <w:rPr>
          <w:rFonts w:ascii="Times New Roman" w:hAnsi="Times New Roman" w:cs="Times New Roman"/>
          <w:sz w:val="24"/>
          <w:szCs w:val="24"/>
        </w:rPr>
        <w:t xml:space="preserve">și </w:t>
      </w:r>
      <w:r>
        <w:rPr>
          <w:rFonts w:ascii="Times New Roman" w:hAnsi="Times New Roman" w:cs="Times New Roman"/>
          <w:i/>
          <w:sz w:val="24"/>
          <w:szCs w:val="24"/>
        </w:rPr>
        <w:t>PKD2</w:t>
      </w:r>
      <w:r>
        <w:rPr>
          <w:rFonts w:ascii="Times New Roman" w:hAnsi="Times New Roman" w:cs="Times New Roman"/>
          <w:sz w:val="24"/>
          <w:szCs w:val="24"/>
        </w:rPr>
        <w:t xml:space="preserve">. Există și o serie de gene minore descrise în ADPKD, dar care sunt asociate, de regulă, cu un curs mai ușor al bolii. </w:t>
      </w:r>
      <w:r w:rsidR="00731B72">
        <w:rPr>
          <w:rFonts w:ascii="Times New Roman" w:hAnsi="Times New Roman" w:cs="Times New Roman"/>
          <w:sz w:val="24"/>
          <w:szCs w:val="24"/>
        </w:rPr>
        <w:t xml:space="preserve">Într-o minoritate de cazuri (&lt;5%), cauza bolii este necunoscută. </w:t>
      </w:r>
      <w:r w:rsidR="00D80EE1">
        <w:rPr>
          <w:rFonts w:ascii="Times New Roman" w:hAnsi="Times New Roman" w:cs="Times New Roman"/>
          <w:sz w:val="24"/>
          <w:szCs w:val="24"/>
        </w:rPr>
        <w:t xml:space="preserve">Formele de boală asociate cu mutații în </w:t>
      </w:r>
      <w:r w:rsidR="00D80EE1">
        <w:rPr>
          <w:rFonts w:ascii="Times New Roman" w:hAnsi="Times New Roman" w:cs="Times New Roman"/>
          <w:i/>
          <w:sz w:val="24"/>
          <w:szCs w:val="24"/>
        </w:rPr>
        <w:t xml:space="preserve">PKD1 </w:t>
      </w:r>
      <w:r w:rsidR="00D80EE1">
        <w:rPr>
          <w:rFonts w:ascii="Times New Roman" w:hAnsi="Times New Roman" w:cs="Times New Roman"/>
          <w:sz w:val="24"/>
          <w:szCs w:val="24"/>
        </w:rPr>
        <w:t xml:space="preserve">sunt mai severe față de cele asociate cu mutații în </w:t>
      </w:r>
      <w:r w:rsidR="00D80EE1" w:rsidRPr="00D80EE1">
        <w:rPr>
          <w:rFonts w:ascii="Times New Roman" w:hAnsi="Times New Roman" w:cs="Times New Roman"/>
          <w:i/>
          <w:sz w:val="24"/>
          <w:szCs w:val="24"/>
        </w:rPr>
        <w:t>PKD2</w:t>
      </w:r>
      <w:r w:rsidR="00D80EE1">
        <w:rPr>
          <w:rFonts w:ascii="Times New Roman" w:hAnsi="Times New Roman" w:cs="Times New Roman"/>
          <w:sz w:val="24"/>
          <w:szCs w:val="24"/>
        </w:rPr>
        <w:t xml:space="preserve">. </w:t>
      </w:r>
      <w:r w:rsidRPr="00D80EE1">
        <w:rPr>
          <w:rFonts w:ascii="Times New Roman" w:hAnsi="Times New Roman" w:cs="Times New Roman"/>
          <w:sz w:val="24"/>
          <w:szCs w:val="24"/>
        </w:rPr>
        <w:t>Transmiterea</w:t>
      </w:r>
      <w:r>
        <w:rPr>
          <w:rFonts w:ascii="Times New Roman" w:hAnsi="Times New Roman" w:cs="Times New Roman"/>
          <w:sz w:val="24"/>
          <w:szCs w:val="24"/>
        </w:rPr>
        <w:t xml:space="preserve"> ADPKD</w:t>
      </w:r>
      <w:r w:rsidR="006842FE">
        <w:rPr>
          <w:rFonts w:ascii="Times New Roman" w:hAnsi="Times New Roman" w:cs="Times New Roman"/>
          <w:sz w:val="24"/>
          <w:szCs w:val="24"/>
        </w:rPr>
        <w:t xml:space="preserve"> respectă modelul autozomal dominant, ceea ce înseamnă că, în condițiile unui părinte afectat, pentru fiecare sarcină, riscul de transmitere a mutației la descendenți este de 50%.</w:t>
      </w:r>
      <w:r>
        <w:rPr>
          <w:rFonts w:ascii="Times New Roman" w:hAnsi="Times New Roman" w:cs="Times New Roman"/>
          <w:sz w:val="24"/>
          <w:szCs w:val="24"/>
        </w:rPr>
        <w:t xml:space="preserve"> </w:t>
      </w:r>
      <w:r w:rsidR="00731B72">
        <w:rPr>
          <w:rFonts w:ascii="Times New Roman" w:hAnsi="Times New Roman" w:cs="Times New Roman"/>
          <w:sz w:val="24"/>
          <w:szCs w:val="24"/>
        </w:rPr>
        <w:t>Expresivitatea bolii este variabilă, e</w:t>
      </w:r>
      <w:r w:rsidR="00D80EE1">
        <w:rPr>
          <w:rFonts w:ascii="Times New Roman" w:hAnsi="Times New Roman" w:cs="Times New Roman"/>
          <w:sz w:val="24"/>
          <w:szCs w:val="24"/>
        </w:rPr>
        <w:t xml:space="preserve">xistând </w:t>
      </w:r>
      <w:r w:rsidR="0015130F">
        <w:rPr>
          <w:rFonts w:ascii="Times New Roman" w:hAnsi="Times New Roman" w:cs="Times New Roman"/>
          <w:sz w:val="24"/>
          <w:szCs w:val="24"/>
        </w:rPr>
        <w:t>diferențe ale severității bolii</w:t>
      </w:r>
      <w:r w:rsidR="00D80EE1">
        <w:rPr>
          <w:rFonts w:ascii="Times New Roman" w:hAnsi="Times New Roman" w:cs="Times New Roman"/>
          <w:sz w:val="24"/>
          <w:szCs w:val="24"/>
        </w:rPr>
        <w:t xml:space="preserve"> între indivizi</w:t>
      </w:r>
      <w:r w:rsidR="001F41C4">
        <w:rPr>
          <w:rFonts w:ascii="Times New Roman" w:hAnsi="Times New Roman" w:cs="Times New Roman"/>
          <w:sz w:val="24"/>
          <w:szCs w:val="24"/>
        </w:rPr>
        <w:t>,</w:t>
      </w:r>
      <w:r w:rsidR="00731B72">
        <w:rPr>
          <w:rFonts w:ascii="Times New Roman" w:hAnsi="Times New Roman" w:cs="Times New Roman"/>
          <w:sz w:val="24"/>
          <w:szCs w:val="24"/>
        </w:rPr>
        <w:t xml:space="preserve"> mai puțin evide</w:t>
      </w:r>
      <w:r w:rsidR="00D80EE1">
        <w:rPr>
          <w:rFonts w:ascii="Times New Roman" w:hAnsi="Times New Roman" w:cs="Times New Roman"/>
          <w:sz w:val="24"/>
          <w:szCs w:val="24"/>
        </w:rPr>
        <w:t xml:space="preserve">nte pentru membrii </w:t>
      </w:r>
      <w:r w:rsidR="00731B72">
        <w:rPr>
          <w:rFonts w:ascii="Times New Roman" w:hAnsi="Times New Roman" w:cs="Times New Roman"/>
          <w:sz w:val="24"/>
          <w:szCs w:val="24"/>
        </w:rPr>
        <w:t>aceleiași familii.</w:t>
      </w:r>
      <w:r w:rsidR="000C124F">
        <w:rPr>
          <w:rFonts w:ascii="Times New Roman" w:hAnsi="Times New Roman" w:cs="Times New Roman"/>
          <w:sz w:val="24"/>
          <w:szCs w:val="24"/>
        </w:rPr>
        <w:t xml:space="preserve"> Penetranța bolii este dependentă de vârstă și de tipul de mutație.</w:t>
      </w:r>
      <w:r w:rsidR="00BC7C56">
        <w:rPr>
          <w:rFonts w:ascii="Times New Roman" w:hAnsi="Times New Roman" w:cs="Times New Roman"/>
          <w:sz w:val="24"/>
          <w:szCs w:val="24"/>
        </w:rPr>
        <w:t xml:space="preserve">  </w:t>
      </w:r>
    </w:p>
    <w:p w:rsidR="00584826" w:rsidRPr="00584826" w:rsidRDefault="00DC3355" w:rsidP="00584826">
      <w:pPr>
        <w:pStyle w:val="ListParagraph"/>
        <w:numPr>
          <w:ilvl w:val="0"/>
          <w:numId w:val="1"/>
        </w:numPr>
        <w:jc w:val="both"/>
        <w:rPr>
          <w:rFonts w:ascii="Times New Roman" w:hAnsi="Times New Roman" w:cs="Times New Roman"/>
          <w:b/>
          <w:sz w:val="24"/>
          <w:szCs w:val="24"/>
        </w:rPr>
      </w:pPr>
      <w:r w:rsidRPr="001F0F36">
        <w:rPr>
          <w:rFonts w:ascii="Times New Roman" w:hAnsi="Times New Roman" w:cs="Times New Roman"/>
          <w:b/>
          <w:sz w:val="24"/>
          <w:szCs w:val="24"/>
        </w:rPr>
        <w:t>Semne clinice</w:t>
      </w:r>
      <w:r w:rsidR="00584826">
        <w:rPr>
          <w:rFonts w:ascii="Times New Roman" w:hAnsi="Times New Roman" w:cs="Times New Roman"/>
          <w:b/>
          <w:sz w:val="24"/>
          <w:szCs w:val="24"/>
        </w:rPr>
        <w:t>.</w:t>
      </w:r>
    </w:p>
    <w:p w:rsidR="00584826" w:rsidRDefault="00584826" w:rsidP="00584826">
      <w:pPr>
        <w:spacing w:line="240" w:lineRule="auto"/>
        <w:jc w:val="both"/>
        <w:rPr>
          <w:rFonts w:ascii="Times New Roman" w:hAnsi="Times New Roman" w:cs="Times New Roman"/>
          <w:sz w:val="24"/>
          <w:szCs w:val="24"/>
        </w:rPr>
      </w:pPr>
      <w:r>
        <w:rPr>
          <w:rFonts w:ascii="Times New Roman" w:hAnsi="Times New Roman" w:cs="Times New Roman"/>
          <w:sz w:val="24"/>
          <w:szCs w:val="24"/>
        </w:rPr>
        <w:t>Suspiciunea de boală polichistică renală cu transmitere autozomal dominantă ar trebui ridicată în următoarele situații:</w:t>
      </w:r>
    </w:p>
    <w:p w:rsidR="00A97817" w:rsidRPr="00175ADF" w:rsidRDefault="00A97817" w:rsidP="00175ADF">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Existența a multiple formațiuni chistice renale bilaterale, în lipsa altor boli renale</w:t>
      </w:r>
    </w:p>
    <w:p w:rsidR="00A97817" w:rsidRDefault="00A97817" w:rsidP="00584826">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Anevrisme intracraniene, chiste arahnoidiene, chiste în organe precum ficatul, pancreasul, veziculele seminale</w:t>
      </w:r>
    </w:p>
    <w:p w:rsidR="00175ADF" w:rsidRDefault="00175ADF" w:rsidP="00584826">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Hipertensiunea diagnosticată la pacienți tineri, sub 35 de ani</w:t>
      </w:r>
    </w:p>
    <w:p w:rsidR="00584826" w:rsidRDefault="00A97817" w:rsidP="00584826">
      <w:pPr>
        <w:pStyle w:val="ListParagraph"/>
        <w:numPr>
          <w:ilvl w:val="0"/>
          <w:numId w:val="5"/>
        </w:numPr>
        <w:spacing w:line="240" w:lineRule="auto"/>
        <w:jc w:val="both"/>
        <w:rPr>
          <w:rFonts w:ascii="Times New Roman" w:hAnsi="Times New Roman" w:cs="Times New Roman"/>
          <w:sz w:val="24"/>
          <w:szCs w:val="24"/>
        </w:rPr>
      </w:pPr>
      <w:r>
        <w:rPr>
          <w:rFonts w:ascii="Times New Roman" w:hAnsi="Times New Roman" w:cs="Times New Roman"/>
          <w:sz w:val="24"/>
          <w:szCs w:val="24"/>
        </w:rPr>
        <w:t>Afectarea, în cadrul aceleiași familii, a mai multor indivizi, din mai multe generații succesive, atât de sex masculin, cât și de sex feminin</w:t>
      </w:r>
    </w:p>
    <w:p w:rsidR="00A97817" w:rsidRDefault="00A97817" w:rsidP="00A9781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Diagnosticul de certitudine este stabilit </w:t>
      </w:r>
      <w:r w:rsidR="00FC5973">
        <w:rPr>
          <w:rFonts w:ascii="Times New Roman" w:hAnsi="Times New Roman" w:cs="Times New Roman"/>
          <w:sz w:val="24"/>
          <w:szCs w:val="24"/>
        </w:rPr>
        <w:t xml:space="preserve">în urma </w:t>
      </w:r>
      <w:r w:rsidR="00BC7C56">
        <w:rPr>
          <w:rFonts w:ascii="Times New Roman" w:hAnsi="Times New Roman" w:cs="Times New Roman"/>
          <w:sz w:val="24"/>
          <w:szCs w:val="24"/>
        </w:rPr>
        <w:t xml:space="preserve">unui test genetic pozitiv </w:t>
      </w:r>
      <w:r w:rsidR="00FC5973">
        <w:rPr>
          <w:rFonts w:ascii="Times New Roman" w:hAnsi="Times New Roman" w:cs="Times New Roman"/>
          <w:sz w:val="24"/>
          <w:szCs w:val="24"/>
        </w:rPr>
        <w:t>sau, în absența testării genetice, în cazul prezenței criteriilor imagistice (ecografice sau RMN) și a istoricului familial pozitiv.</w:t>
      </w:r>
      <w:r w:rsidR="00175ADF">
        <w:rPr>
          <w:rFonts w:ascii="Times New Roman" w:hAnsi="Times New Roman" w:cs="Times New Roman"/>
          <w:sz w:val="24"/>
          <w:szCs w:val="24"/>
        </w:rPr>
        <w:t xml:space="preserve"> Un test genetic negativ pentru ADPKD, în condițiile absenței</w:t>
      </w:r>
      <w:r w:rsidR="00731B72">
        <w:rPr>
          <w:rFonts w:ascii="Times New Roman" w:hAnsi="Times New Roman" w:cs="Times New Roman"/>
          <w:sz w:val="24"/>
          <w:szCs w:val="24"/>
        </w:rPr>
        <w:t xml:space="preserve"> imagistice a chistelor renale până la vârsta de 40 de ani sau a existenței unor chiste izolate după această vârstă, exclude cu certitudine boala.  </w:t>
      </w:r>
    </w:p>
    <w:p w:rsidR="00EE3539" w:rsidRDefault="00EE3539" w:rsidP="00A97817">
      <w:pPr>
        <w:spacing w:line="240" w:lineRule="auto"/>
        <w:jc w:val="both"/>
        <w:rPr>
          <w:rFonts w:ascii="Times New Roman" w:hAnsi="Times New Roman" w:cs="Times New Roman"/>
          <w:sz w:val="24"/>
          <w:szCs w:val="24"/>
        </w:rPr>
      </w:pPr>
      <w:r>
        <w:rPr>
          <w:rFonts w:ascii="Times New Roman" w:hAnsi="Times New Roman" w:cs="Times New Roman"/>
          <w:sz w:val="24"/>
          <w:szCs w:val="24"/>
        </w:rPr>
        <w:t>Principalele manifestări clinice descrise în ADPKD:</w:t>
      </w:r>
    </w:p>
    <w:p w:rsidR="00EE3539" w:rsidRDefault="00713FC3" w:rsidP="00EE3539">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Boala polichistică renală</w:t>
      </w:r>
      <w:r w:rsidR="00EE3539">
        <w:rPr>
          <w:rFonts w:ascii="Times New Roman" w:hAnsi="Times New Roman" w:cs="Times New Roman"/>
          <w:sz w:val="24"/>
          <w:szCs w:val="24"/>
        </w:rPr>
        <w:t>: chiste renale, care inițial sunt asimptomatice, p</w:t>
      </w:r>
      <w:r w:rsidR="001E22C2">
        <w:rPr>
          <w:rFonts w:ascii="Times New Roman" w:hAnsi="Times New Roman" w:cs="Times New Roman"/>
          <w:sz w:val="24"/>
          <w:szCs w:val="24"/>
        </w:rPr>
        <w:t xml:space="preserve">entru ca ulterior să crească ca </w:t>
      </w:r>
      <w:r w:rsidR="00EE3539">
        <w:rPr>
          <w:rFonts w:ascii="Times New Roman" w:hAnsi="Times New Roman" w:cs="Times New Roman"/>
          <w:sz w:val="24"/>
          <w:szCs w:val="24"/>
        </w:rPr>
        <w:t xml:space="preserve">număr și </w:t>
      </w:r>
      <w:r w:rsidR="001E22C2">
        <w:rPr>
          <w:rFonts w:ascii="Times New Roman" w:hAnsi="Times New Roman" w:cs="Times New Roman"/>
          <w:sz w:val="24"/>
          <w:szCs w:val="24"/>
        </w:rPr>
        <w:t xml:space="preserve">în </w:t>
      </w:r>
      <w:r w:rsidR="00EE3539">
        <w:rPr>
          <w:rFonts w:ascii="Times New Roman" w:hAnsi="Times New Roman" w:cs="Times New Roman"/>
          <w:sz w:val="24"/>
          <w:szCs w:val="24"/>
        </w:rPr>
        <w:t xml:space="preserve">dimensiuni, devenind simptomatice. </w:t>
      </w:r>
      <w:r w:rsidR="000556F5">
        <w:rPr>
          <w:rFonts w:ascii="Times New Roman" w:hAnsi="Times New Roman" w:cs="Times New Roman"/>
          <w:sz w:val="24"/>
          <w:szCs w:val="24"/>
        </w:rPr>
        <w:t xml:space="preserve">Boala renală are o evoluție mai severă la bărbați față de femei și la cei cu mutație în gena </w:t>
      </w:r>
      <w:r w:rsidR="000556F5">
        <w:rPr>
          <w:rFonts w:ascii="Times New Roman" w:hAnsi="Times New Roman" w:cs="Times New Roman"/>
          <w:i/>
          <w:sz w:val="24"/>
          <w:szCs w:val="24"/>
        </w:rPr>
        <w:t xml:space="preserve">PKD1 </w:t>
      </w:r>
      <w:r w:rsidR="000556F5">
        <w:rPr>
          <w:rFonts w:ascii="Times New Roman" w:hAnsi="Times New Roman" w:cs="Times New Roman"/>
          <w:sz w:val="24"/>
          <w:szCs w:val="24"/>
        </w:rPr>
        <w:t>față de alte gene</w:t>
      </w:r>
      <w:r w:rsidR="000556F5">
        <w:rPr>
          <w:rFonts w:ascii="Times New Roman" w:hAnsi="Times New Roman" w:cs="Times New Roman"/>
          <w:i/>
          <w:sz w:val="24"/>
          <w:szCs w:val="24"/>
        </w:rPr>
        <w:t xml:space="preserve">. </w:t>
      </w:r>
      <w:r w:rsidR="00EE3539">
        <w:rPr>
          <w:rFonts w:ascii="Times New Roman" w:hAnsi="Times New Roman" w:cs="Times New Roman"/>
          <w:sz w:val="24"/>
          <w:szCs w:val="24"/>
        </w:rPr>
        <w:t xml:space="preserve">Durerea renală este o manifestare comună, cauzată de hemoragia (sângerarea) chistelor, </w:t>
      </w:r>
      <w:r w:rsidR="00EE3539">
        <w:rPr>
          <w:rFonts w:ascii="Times New Roman" w:hAnsi="Times New Roman" w:cs="Times New Roman"/>
          <w:sz w:val="24"/>
          <w:szCs w:val="24"/>
        </w:rPr>
        <w:lastRenderedPageBreak/>
        <w:t xml:space="preserve">infectarea chistelor, nefrolitiază (pietre la rinichi). Asociat, pacientul poate prezenta hematurie (sânge în urină) și poate deveni febril. Infecțiile de tract urinar sunt, de asemenea, mai frecvente față de populația generală. </w:t>
      </w:r>
      <w:r>
        <w:rPr>
          <w:rFonts w:ascii="Times New Roman" w:hAnsi="Times New Roman" w:cs="Times New Roman"/>
          <w:sz w:val="24"/>
          <w:szCs w:val="24"/>
        </w:rPr>
        <w:t>50% dintre cei afectați, dezvoltă boală cronică renală cu necesar de dializă până la vârsta de 60 de ani.</w:t>
      </w:r>
    </w:p>
    <w:p w:rsidR="00546D96" w:rsidRDefault="00713FC3" w:rsidP="00EE3539">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Boala polichistică hepatică: </w:t>
      </w:r>
      <w:r w:rsidR="001E22C2">
        <w:rPr>
          <w:rFonts w:ascii="Times New Roman" w:hAnsi="Times New Roman" w:cs="Times New Roman"/>
          <w:sz w:val="24"/>
          <w:szCs w:val="24"/>
        </w:rPr>
        <w:t>apare mai târziu în decursul bolii și are o evoluție mai agresivă la femei</w:t>
      </w:r>
      <w:r w:rsidR="00546D96">
        <w:rPr>
          <w:rFonts w:ascii="Times New Roman" w:hAnsi="Times New Roman" w:cs="Times New Roman"/>
          <w:sz w:val="24"/>
          <w:szCs w:val="24"/>
        </w:rPr>
        <w:t>. De obicei, chisturile hepatice sunt asimptomatice. Simptomele apar doar în cazurile în care apar compresiuni ale structurilor adiacente (căi biliare, vase de sânge) sau în momentul complicațiilor chistelor (infecție, hemoragie, ruptură).</w:t>
      </w:r>
    </w:p>
    <w:p w:rsidR="00546D96" w:rsidRDefault="00546D96" w:rsidP="00EE3539">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Chiste pancreatice, chiste ale veziculelor seminale, chiste arahnoidiene, de obicei asimptomatice.</w:t>
      </w:r>
    </w:p>
    <w:p w:rsidR="00713FC3" w:rsidRDefault="000556F5" w:rsidP="00EE3539">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Manifestări vasculare: </w:t>
      </w:r>
      <w:r w:rsidR="00B20242">
        <w:rPr>
          <w:rFonts w:ascii="Times New Roman" w:hAnsi="Times New Roman" w:cs="Times New Roman"/>
          <w:sz w:val="24"/>
          <w:szCs w:val="24"/>
        </w:rPr>
        <w:t>cel mai frecvent, anevrisme ale arterelor intracraniene</w:t>
      </w:r>
      <w:r w:rsidR="00225AB1">
        <w:rPr>
          <w:rFonts w:ascii="Times New Roman" w:hAnsi="Times New Roman" w:cs="Times New Roman"/>
          <w:sz w:val="24"/>
          <w:szCs w:val="24"/>
        </w:rPr>
        <w:t>, sau, mai rar ale altor vase de sânge (aorta, artere coronare) sau afectarea valvelor cardiace (prolapsul de valvă mitrală, insuficiența aortică). Prezența acestor dilatări vasculare predispune la rupturi ale acestor vase și sângerări amenințătoare de viață.</w:t>
      </w:r>
    </w:p>
    <w:p w:rsidR="00225AB1" w:rsidRPr="00EE3539" w:rsidRDefault="00225AB1" w:rsidP="00EE3539">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Diverticuloză colonică, mai frecventă la pacienții cu ADPKD și boală cronică renală avansată.</w:t>
      </w:r>
    </w:p>
    <w:p w:rsidR="00A97817" w:rsidRPr="00A97817" w:rsidRDefault="00A97817" w:rsidP="00A97817">
      <w:pPr>
        <w:pStyle w:val="ListParagraph"/>
        <w:spacing w:line="240" w:lineRule="auto"/>
        <w:jc w:val="both"/>
        <w:rPr>
          <w:rFonts w:ascii="Times New Roman" w:hAnsi="Times New Roman" w:cs="Times New Roman"/>
          <w:sz w:val="24"/>
          <w:szCs w:val="24"/>
        </w:rPr>
      </w:pPr>
    </w:p>
    <w:p w:rsidR="00DC3355" w:rsidRDefault="00DC3355" w:rsidP="00FB32C3">
      <w:pPr>
        <w:pStyle w:val="ListParagraph"/>
        <w:numPr>
          <w:ilvl w:val="0"/>
          <w:numId w:val="1"/>
        </w:numPr>
        <w:jc w:val="both"/>
        <w:rPr>
          <w:rFonts w:ascii="Times New Roman" w:hAnsi="Times New Roman" w:cs="Times New Roman"/>
          <w:b/>
          <w:sz w:val="24"/>
          <w:szCs w:val="24"/>
        </w:rPr>
      </w:pPr>
      <w:r w:rsidRPr="00D23492">
        <w:rPr>
          <w:rFonts w:ascii="Times New Roman" w:hAnsi="Times New Roman" w:cs="Times New Roman"/>
          <w:b/>
          <w:sz w:val="24"/>
          <w:szCs w:val="24"/>
        </w:rPr>
        <w:t>Sfat genetic.</w:t>
      </w:r>
    </w:p>
    <w:p w:rsidR="00690D63" w:rsidRPr="00690D63" w:rsidRDefault="00690D63" w:rsidP="00690D63">
      <w:pPr>
        <w:jc w:val="both"/>
        <w:rPr>
          <w:rFonts w:ascii="Times New Roman" w:hAnsi="Times New Roman" w:cs="Times New Roman"/>
          <w:sz w:val="24"/>
          <w:szCs w:val="24"/>
        </w:rPr>
      </w:pPr>
      <w:r>
        <w:rPr>
          <w:rFonts w:ascii="Times New Roman" w:hAnsi="Times New Roman" w:cs="Times New Roman"/>
          <w:sz w:val="24"/>
          <w:szCs w:val="24"/>
        </w:rPr>
        <w:t xml:space="preserve">ADPKD este o boală genetică cu transmitere autozomal dominantă. Majoritatea celor afectați (80%) au un istoric familial pozitiv de boală. </w:t>
      </w:r>
      <w:r w:rsidR="00D205DD">
        <w:rPr>
          <w:rFonts w:ascii="Times New Roman" w:hAnsi="Times New Roman" w:cs="Times New Roman"/>
          <w:sz w:val="24"/>
          <w:szCs w:val="24"/>
        </w:rPr>
        <w:t xml:space="preserve">20% din cazuri apar spontan, fără a exista alți membri ai familiei afectați. </w:t>
      </w:r>
      <w:r>
        <w:rPr>
          <w:rFonts w:ascii="Times New Roman" w:hAnsi="Times New Roman" w:cs="Times New Roman"/>
          <w:sz w:val="24"/>
          <w:szCs w:val="24"/>
        </w:rPr>
        <w:t>Pentru o persoană afectată, riscul de transmitere a mutației descendenților este de 50%. Expresivitatea bolii este una variabilă, severitatea fiind diferită între indivizi</w:t>
      </w:r>
      <w:r w:rsidR="00D205DD">
        <w:rPr>
          <w:rFonts w:ascii="Times New Roman" w:hAnsi="Times New Roman" w:cs="Times New Roman"/>
          <w:sz w:val="24"/>
          <w:szCs w:val="24"/>
        </w:rPr>
        <w:t>, chiar și în cadrul aceleiași familii</w:t>
      </w:r>
      <w:r>
        <w:rPr>
          <w:rFonts w:ascii="Times New Roman" w:hAnsi="Times New Roman" w:cs="Times New Roman"/>
          <w:sz w:val="24"/>
          <w:szCs w:val="24"/>
        </w:rPr>
        <w:t>.</w:t>
      </w:r>
    </w:p>
    <w:p w:rsidR="00DC3355" w:rsidRDefault="00DC3355" w:rsidP="00FB32C3">
      <w:pPr>
        <w:pStyle w:val="ListParagraph"/>
        <w:numPr>
          <w:ilvl w:val="0"/>
          <w:numId w:val="1"/>
        </w:numPr>
        <w:jc w:val="both"/>
        <w:rPr>
          <w:rFonts w:ascii="Times New Roman" w:hAnsi="Times New Roman" w:cs="Times New Roman"/>
          <w:b/>
          <w:sz w:val="24"/>
          <w:szCs w:val="24"/>
        </w:rPr>
      </w:pPr>
      <w:r w:rsidRPr="00D23492">
        <w:rPr>
          <w:rFonts w:ascii="Times New Roman" w:hAnsi="Times New Roman" w:cs="Times New Roman"/>
          <w:b/>
          <w:sz w:val="24"/>
          <w:szCs w:val="24"/>
        </w:rPr>
        <w:t>Diagnostic prenatal.</w:t>
      </w:r>
    </w:p>
    <w:p w:rsidR="0036541A" w:rsidRPr="00656B0A" w:rsidRDefault="0036541A" w:rsidP="00FB32C3">
      <w:pPr>
        <w:jc w:val="both"/>
        <w:rPr>
          <w:rFonts w:ascii="Times New Roman" w:hAnsi="Times New Roman" w:cs="Times New Roman"/>
          <w:b/>
          <w:sz w:val="24"/>
          <w:szCs w:val="24"/>
        </w:rPr>
      </w:pPr>
      <w:r>
        <w:rPr>
          <w:rFonts w:ascii="Times New Roman" w:hAnsi="Times New Roman" w:cs="Times New Roman"/>
          <w:sz w:val="24"/>
          <w:szCs w:val="24"/>
        </w:rPr>
        <w:t>Dacă în familie este cunoscută prezența bolii, iar unul dintre parteneri este afectat de boală, atât diagnosticul prenatal, cât și cel preimplantațional sunt tehnic posibile.</w:t>
      </w:r>
      <w:r w:rsidR="00126522">
        <w:rPr>
          <w:rFonts w:ascii="Times New Roman" w:hAnsi="Times New Roman" w:cs="Times New Roman"/>
          <w:sz w:val="24"/>
          <w:szCs w:val="24"/>
        </w:rPr>
        <w:t xml:space="preserve"> Diagnosticul preimplantațional se realizează înaintea obținerii unei sarcini, atunci când se apelează la tehnica fertilizării in vitro.</w:t>
      </w:r>
      <w:r w:rsidR="00656B0A">
        <w:rPr>
          <w:rFonts w:ascii="Times New Roman" w:hAnsi="Times New Roman" w:cs="Times New Roman"/>
          <w:sz w:val="24"/>
          <w:szCs w:val="24"/>
        </w:rPr>
        <w:t xml:space="preserve"> Practic, se testează genetic un număr limitat de celule din embrionii care urmează să fie implantați în uterul matern, în vederea depistării unei mutații de interes. Diagnosticul prenatal se realizează în momentul în care a fost deja obținută o sarcină, fie din vilozitățile coriale, fie din celulele fetale prezente în lichidul amniotic.</w:t>
      </w:r>
      <w:r>
        <w:rPr>
          <w:rFonts w:ascii="Times New Roman" w:hAnsi="Times New Roman" w:cs="Times New Roman"/>
          <w:sz w:val="24"/>
          <w:szCs w:val="24"/>
        </w:rPr>
        <w:t xml:space="preserve"> </w:t>
      </w:r>
    </w:p>
    <w:p w:rsidR="00DC3355" w:rsidRDefault="00DC3355" w:rsidP="00FB32C3">
      <w:pPr>
        <w:pStyle w:val="ListParagraph"/>
        <w:numPr>
          <w:ilvl w:val="0"/>
          <w:numId w:val="1"/>
        </w:numPr>
        <w:jc w:val="both"/>
        <w:rPr>
          <w:rFonts w:ascii="Times New Roman" w:hAnsi="Times New Roman" w:cs="Times New Roman"/>
          <w:b/>
          <w:sz w:val="24"/>
          <w:szCs w:val="24"/>
        </w:rPr>
      </w:pPr>
      <w:r w:rsidRPr="00D23492">
        <w:rPr>
          <w:rFonts w:ascii="Times New Roman" w:hAnsi="Times New Roman" w:cs="Times New Roman"/>
          <w:b/>
          <w:sz w:val="24"/>
          <w:szCs w:val="24"/>
        </w:rPr>
        <w:t>Evoluție și prognostic.</w:t>
      </w:r>
    </w:p>
    <w:p w:rsidR="00D205DD" w:rsidRPr="001A01F4" w:rsidRDefault="001A01F4" w:rsidP="00D205DD">
      <w:pPr>
        <w:jc w:val="both"/>
        <w:rPr>
          <w:rFonts w:ascii="Times New Roman" w:hAnsi="Times New Roman" w:cs="Times New Roman"/>
          <w:sz w:val="24"/>
          <w:szCs w:val="24"/>
        </w:rPr>
      </w:pPr>
      <w:r>
        <w:rPr>
          <w:rFonts w:ascii="Times New Roman" w:hAnsi="Times New Roman" w:cs="Times New Roman"/>
          <w:sz w:val="24"/>
          <w:szCs w:val="24"/>
        </w:rPr>
        <w:t xml:space="preserve">Prognosticul în ADPKD este unul variabil. De obicei, evoluția bolii este progresivă, cu instalarea bolii cronice renale, cu necesar de dializă până la vârsta de 60 de ani. Factorii de risc care prezic o evoluție mai severă a bolii renale sunt: tipul de mutație (în gena </w:t>
      </w:r>
      <w:r>
        <w:rPr>
          <w:rFonts w:ascii="Times New Roman" w:hAnsi="Times New Roman" w:cs="Times New Roman"/>
          <w:i/>
          <w:sz w:val="24"/>
          <w:szCs w:val="24"/>
        </w:rPr>
        <w:t>PKD1</w:t>
      </w:r>
      <w:r>
        <w:rPr>
          <w:rFonts w:ascii="Times New Roman" w:hAnsi="Times New Roman" w:cs="Times New Roman"/>
          <w:sz w:val="24"/>
          <w:szCs w:val="24"/>
        </w:rPr>
        <w:t>), sexul masculin, prezența hipertensiunii arteriale, prezența complicațiilor de tipul hematuriei (sânge în urină) sau a infecțiilor de tract urinar superior (pielonefrite). Pacienții cu necesar de dializă</w:t>
      </w:r>
      <w:r w:rsidR="003A3B1C">
        <w:rPr>
          <w:rFonts w:ascii="Times New Roman" w:hAnsi="Times New Roman" w:cs="Times New Roman"/>
          <w:sz w:val="24"/>
          <w:szCs w:val="24"/>
        </w:rPr>
        <w:t xml:space="preserve"> dezvoltă complicații cardiovasculare, cauze majore de morbiditate și mortalitate.</w:t>
      </w:r>
      <w:r>
        <w:rPr>
          <w:rFonts w:ascii="Times New Roman" w:hAnsi="Times New Roman" w:cs="Times New Roman"/>
          <w:sz w:val="24"/>
          <w:szCs w:val="24"/>
        </w:rPr>
        <w:t xml:space="preserve"> </w:t>
      </w:r>
      <w:r w:rsidR="003A3B1C">
        <w:rPr>
          <w:rFonts w:ascii="Times New Roman" w:hAnsi="Times New Roman" w:cs="Times New Roman"/>
          <w:sz w:val="24"/>
          <w:szCs w:val="24"/>
        </w:rPr>
        <w:t>O cauză mai rară de deces în ADPKD este reprezentată de hemoragia subarahnoidiană secundară rupturii anevrismelor intracraniene.</w:t>
      </w:r>
    </w:p>
    <w:p w:rsidR="001A125A" w:rsidRDefault="00DC3355" w:rsidP="00FB32C3">
      <w:pPr>
        <w:pStyle w:val="ListParagraph"/>
        <w:numPr>
          <w:ilvl w:val="0"/>
          <w:numId w:val="1"/>
        </w:numPr>
        <w:jc w:val="both"/>
        <w:rPr>
          <w:rFonts w:ascii="Times New Roman" w:hAnsi="Times New Roman" w:cs="Times New Roman"/>
          <w:b/>
          <w:sz w:val="24"/>
          <w:szCs w:val="24"/>
        </w:rPr>
      </w:pPr>
      <w:r w:rsidRPr="000E6C6D">
        <w:rPr>
          <w:rFonts w:ascii="Times New Roman" w:hAnsi="Times New Roman" w:cs="Times New Roman"/>
          <w:b/>
          <w:sz w:val="24"/>
          <w:szCs w:val="24"/>
        </w:rPr>
        <w:t>Posibilități de tratament, îngrijire și urmărire.</w:t>
      </w:r>
    </w:p>
    <w:p w:rsidR="00D205DD" w:rsidRPr="00D205DD" w:rsidRDefault="002F6AFD" w:rsidP="00D205D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La ora actuală nu există o terapie țintită adresată ADPKD. Scopul tratamentului actual este de a încetini pe cât posibil evoluția bolii, conservând funcția renală o perioadă cât mai lungă de timp. În acest sens antagoniștii de receptori V2 (de exemplu, Tolvaptanul) sunt utilizați cu un oarecare succes cu scopul de a prezerva funcția renală o perioadă mai îndelungată. Hipertensiunea arterială care </w:t>
      </w:r>
      <w:r w:rsidR="0004315C">
        <w:rPr>
          <w:rFonts w:ascii="Times New Roman" w:hAnsi="Times New Roman" w:cs="Times New Roman"/>
          <w:sz w:val="24"/>
          <w:szCs w:val="24"/>
        </w:rPr>
        <w:t>este asociată</w:t>
      </w:r>
      <w:r>
        <w:rPr>
          <w:rFonts w:ascii="Times New Roman" w:hAnsi="Times New Roman" w:cs="Times New Roman"/>
          <w:sz w:val="24"/>
          <w:szCs w:val="24"/>
        </w:rPr>
        <w:t xml:space="preserve"> bolii poate fi controlată cu ajutorul antihipertensivelor, în special prin apelul la inhibitorii enzimei de conversie a angiotensinei.</w:t>
      </w:r>
      <w:r w:rsidR="0004315C">
        <w:rPr>
          <w:rFonts w:ascii="Times New Roman" w:hAnsi="Times New Roman" w:cs="Times New Roman"/>
          <w:sz w:val="24"/>
          <w:szCs w:val="24"/>
        </w:rPr>
        <w:t xml:space="preserve"> Tratamentul din boala cronică de rinichi este de asemenea recomandat: limitarea cantității de sodiu zilnice, controlul acidozei, limitarea hiperfosfatemiei. Chistele renale simptomatice pot fi gestionate </w:t>
      </w:r>
      <w:r w:rsidR="00A47A5A">
        <w:rPr>
          <w:rFonts w:ascii="Times New Roman" w:hAnsi="Times New Roman" w:cs="Times New Roman"/>
          <w:sz w:val="24"/>
          <w:szCs w:val="24"/>
        </w:rPr>
        <w:t>fie</w:t>
      </w:r>
      <w:r w:rsidR="0004315C">
        <w:rPr>
          <w:rFonts w:ascii="Times New Roman" w:hAnsi="Times New Roman" w:cs="Times New Roman"/>
          <w:sz w:val="24"/>
          <w:szCs w:val="24"/>
        </w:rPr>
        <w:t xml:space="preserve"> conservativ, fie interventional sau chirurgical, în funcție de severitatea clinică asociată.</w:t>
      </w:r>
      <w:r w:rsidR="00A47A5A">
        <w:rPr>
          <w:rFonts w:ascii="Times New Roman" w:hAnsi="Times New Roman" w:cs="Times New Roman"/>
          <w:sz w:val="24"/>
          <w:szCs w:val="24"/>
        </w:rPr>
        <w:t xml:space="preserve"> Boala polichistică hepatică este rareori simptomatică și nu necesită, de regulă, tratament. Anevrismele intracraniene de dimensiuni crescute (peste 10 mm)</w:t>
      </w:r>
      <w:r w:rsidR="001A01F4">
        <w:rPr>
          <w:rFonts w:ascii="Times New Roman" w:hAnsi="Times New Roman" w:cs="Times New Roman"/>
          <w:sz w:val="24"/>
          <w:szCs w:val="24"/>
        </w:rPr>
        <w:t xml:space="preserve"> ar trebui tratate chirurgical sau endovascular.</w:t>
      </w:r>
    </w:p>
    <w:p w:rsidR="00D205DD" w:rsidRPr="00D205DD" w:rsidRDefault="00D205DD" w:rsidP="00D205DD">
      <w:pPr>
        <w:jc w:val="both"/>
        <w:rPr>
          <w:rFonts w:ascii="Times New Roman" w:hAnsi="Times New Roman" w:cs="Times New Roman"/>
          <w:sz w:val="24"/>
          <w:szCs w:val="24"/>
        </w:rPr>
      </w:pPr>
    </w:p>
    <w:sectPr w:rsidR="00D205DD" w:rsidRPr="00D20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E2415"/>
    <w:multiLevelType w:val="hybridMultilevel"/>
    <w:tmpl w:val="C9C62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7360D"/>
    <w:multiLevelType w:val="hybridMultilevel"/>
    <w:tmpl w:val="30E4EB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43B585E"/>
    <w:multiLevelType w:val="hybridMultilevel"/>
    <w:tmpl w:val="B8CC0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C750C"/>
    <w:multiLevelType w:val="hybridMultilevel"/>
    <w:tmpl w:val="4866F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ED73F6"/>
    <w:multiLevelType w:val="hybridMultilevel"/>
    <w:tmpl w:val="E67EE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571053"/>
    <w:multiLevelType w:val="hybridMultilevel"/>
    <w:tmpl w:val="CDA25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32D"/>
    <w:rsid w:val="0004315C"/>
    <w:rsid w:val="000556F5"/>
    <w:rsid w:val="000871AC"/>
    <w:rsid w:val="000C124F"/>
    <w:rsid w:val="000C5A3A"/>
    <w:rsid w:val="000E6C6D"/>
    <w:rsid w:val="00126522"/>
    <w:rsid w:val="0015130F"/>
    <w:rsid w:val="00175ADF"/>
    <w:rsid w:val="001A01F4"/>
    <w:rsid w:val="001A125A"/>
    <w:rsid w:val="001E22C2"/>
    <w:rsid w:val="001F0F36"/>
    <w:rsid w:val="001F41C4"/>
    <w:rsid w:val="00225AB1"/>
    <w:rsid w:val="00231813"/>
    <w:rsid w:val="00262892"/>
    <w:rsid w:val="00272C88"/>
    <w:rsid w:val="00296882"/>
    <w:rsid w:val="002F6AFD"/>
    <w:rsid w:val="0031431C"/>
    <w:rsid w:val="0036541A"/>
    <w:rsid w:val="00367D35"/>
    <w:rsid w:val="003A050D"/>
    <w:rsid w:val="003A3B1C"/>
    <w:rsid w:val="00420AD5"/>
    <w:rsid w:val="0042471A"/>
    <w:rsid w:val="00447B91"/>
    <w:rsid w:val="00467263"/>
    <w:rsid w:val="0047306B"/>
    <w:rsid w:val="00491111"/>
    <w:rsid w:val="0049132E"/>
    <w:rsid w:val="004E50F7"/>
    <w:rsid w:val="00546D96"/>
    <w:rsid w:val="00584826"/>
    <w:rsid w:val="005A3102"/>
    <w:rsid w:val="005B1503"/>
    <w:rsid w:val="005C11FC"/>
    <w:rsid w:val="005C30B9"/>
    <w:rsid w:val="005C3A84"/>
    <w:rsid w:val="00613BCD"/>
    <w:rsid w:val="00656B0A"/>
    <w:rsid w:val="0066112A"/>
    <w:rsid w:val="006771DE"/>
    <w:rsid w:val="006842FE"/>
    <w:rsid w:val="00690D63"/>
    <w:rsid w:val="006B501E"/>
    <w:rsid w:val="006D6C8B"/>
    <w:rsid w:val="006D6EA6"/>
    <w:rsid w:val="00701103"/>
    <w:rsid w:val="00713FC3"/>
    <w:rsid w:val="0072093A"/>
    <w:rsid w:val="00731B72"/>
    <w:rsid w:val="00763CAF"/>
    <w:rsid w:val="00786202"/>
    <w:rsid w:val="007B7276"/>
    <w:rsid w:val="007F3810"/>
    <w:rsid w:val="008F0FFA"/>
    <w:rsid w:val="00903EBB"/>
    <w:rsid w:val="00931D94"/>
    <w:rsid w:val="0094532D"/>
    <w:rsid w:val="0096088A"/>
    <w:rsid w:val="00964610"/>
    <w:rsid w:val="009E52F6"/>
    <w:rsid w:val="00A04382"/>
    <w:rsid w:val="00A47A5A"/>
    <w:rsid w:val="00A97817"/>
    <w:rsid w:val="00AA022B"/>
    <w:rsid w:val="00AD6824"/>
    <w:rsid w:val="00AF124C"/>
    <w:rsid w:val="00B20242"/>
    <w:rsid w:val="00B23206"/>
    <w:rsid w:val="00B45DD1"/>
    <w:rsid w:val="00BA4406"/>
    <w:rsid w:val="00BC7C56"/>
    <w:rsid w:val="00C97420"/>
    <w:rsid w:val="00CB1A67"/>
    <w:rsid w:val="00CC0D15"/>
    <w:rsid w:val="00D1038A"/>
    <w:rsid w:val="00D205DD"/>
    <w:rsid w:val="00D23492"/>
    <w:rsid w:val="00D80EE1"/>
    <w:rsid w:val="00D87C69"/>
    <w:rsid w:val="00DC3355"/>
    <w:rsid w:val="00E043A2"/>
    <w:rsid w:val="00E50DA3"/>
    <w:rsid w:val="00E70AB8"/>
    <w:rsid w:val="00EC098F"/>
    <w:rsid w:val="00EE3539"/>
    <w:rsid w:val="00FB32C3"/>
    <w:rsid w:val="00FC5973"/>
    <w:rsid w:val="00FF0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0108E-FAF5-43EB-BD3C-3825B5A24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871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72093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98F"/>
    <w:pPr>
      <w:ind w:left="720"/>
      <w:contextualSpacing/>
    </w:pPr>
  </w:style>
  <w:style w:type="character" w:customStyle="1" w:styleId="Heading4Char">
    <w:name w:val="Heading 4 Char"/>
    <w:basedOn w:val="DefaultParagraphFont"/>
    <w:link w:val="Heading4"/>
    <w:uiPriority w:val="9"/>
    <w:rsid w:val="0072093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209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2093A"/>
    <w:rPr>
      <w:color w:val="0000FF"/>
      <w:u w:val="single"/>
    </w:rPr>
  </w:style>
  <w:style w:type="character" w:customStyle="1" w:styleId="Heading3Char">
    <w:name w:val="Heading 3 Char"/>
    <w:basedOn w:val="DefaultParagraphFont"/>
    <w:link w:val="Heading3"/>
    <w:uiPriority w:val="9"/>
    <w:semiHidden/>
    <w:rsid w:val="000871A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85132">
      <w:bodyDiv w:val="1"/>
      <w:marLeft w:val="0"/>
      <w:marRight w:val="0"/>
      <w:marTop w:val="0"/>
      <w:marBottom w:val="0"/>
      <w:divBdr>
        <w:top w:val="none" w:sz="0" w:space="0" w:color="auto"/>
        <w:left w:val="none" w:sz="0" w:space="0" w:color="auto"/>
        <w:bottom w:val="none" w:sz="0" w:space="0" w:color="auto"/>
        <w:right w:val="none" w:sz="0" w:space="0" w:color="auto"/>
      </w:divBdr>
      <w:divsChild>
        <w:div w:id="197203660">
          <w:marLeft w:val="0"/>
          <w:marRight w:val="0"/>
          <w:marTop w:val="0"/>
          <w:marBottom w:val="0"/>
          <w:divBdr>
            <w:top w:val="none" w:sz="0" w:space="0" w:color="auto"/>
            <w:left w:val="none" w:sz="0" w:space="0" w:color="auto"/>
            <w:bottom w:val="none" w:sz="0" w:space="0" w:color="auto"/>
            <w:right w:val="none" w:sz="0" w:space="0" w:color="auto"/>
          </w:divBdr>
        </w:div>
        <w:div w:id="349838245">
          <w:marLeft w:val="0"/>
          <w:marRight w:val="0"/>
          <w:marTop w:val="0"/>
          <w:marBottom w:val="0"/>
          <w:divBdr>
            <w:top w:val="none" w:sz="0" w:space="0" w:color="auto"/>
            <w:left w:val="none" w:sz="0" w:space="0" w:color="auto"/>
            <w:bottom w:val="none" w:sz="0" w:space="0" w:color="auto"/>
            <w:right w:val="none" w:sz="0" w:space="0" w:color="auto"/>
          </w:divBdr>
        </w:div>
        <w:div w:id="114369361">
          <w:marLeft w:val="0"/>
          <w:marRight w:val="0"/>
          <w:marTop w:val="0"/>
          <w:marBottom w:val="0"/>
          <w:divBdr>
            <w:top w:val="none" w:sz="0" w:space="0" w:color="auto"/>
            <w:left w:val="none" w:sz="0" w:space="0" w:color="auto"/>
            <w:bottom w:val="none" w:sz="0" w:space="0" w:color="auto"/>
            <w:right w:val="none" w:sz="0" w:space="0" w:color="auto"/>
          </w:divBdr>
        </w:div>
        <w:div w:id="1635254301">
          <w:marLeft w:val="0"/>
          <w:marRight w:val="0"/>
          <w:marTop w:val="166"/>
          <w:marBottom w:val="166"/>
          <w:divBdr>
            <w:top w:val="none" w:sz="0" w:space="0" w:color="auto"/>
            <w:left w:val="none" w:sz="0" w:space="0" w:color="auto"/>
            <w:bottom w:val="none" w:sz="0" w:space="0" w:color="auto"/>
            <w:right w:val="none" w:sz="0" w:space="0" w:color="auto"/>
          </w:divBdr>
        </w:div>
        <w:div w:id="1303391252">
          <w:marLeft w:val="0"/>
          <w:marRight w:val="0"/>
          <w:marTop w:val="166"/>
          <w:marBottom w:val="166"/>
          <w:divBdr>
            <w:top w:val="none" w:sz="0" w:space="0" w:color="auto"/>
            <w:left w:val="none" w:sz="0" w:space="0" w:color="auto"/>
            <w:bottom w:val="none" w:sz="0" w:space="0" w:color="auto"/>
            <w:right w:val="none" w:sz="0" w:space="0" w:color="auto"/>
          </w:divBdr>
        </w:div>
        <w:div w:id="178736484">
          <w:marLeft w:val="0"/>
          <w:marRight w:val="0"/>
          <w:marTop w:val="166"/>
          <w:marBottom w:val="166"/>
          <w:divBdr>
            <w:top w:val="none" w:sz="0" w:space="0" w:color="auto"/>
            <w:left w:val="none" w:sz="0" w:space="0" w:color="auto"/>
            <w:bottom w:val="none" w:sz="0" w:space="0" w:color="auto"/>
            <w:right w:val="none" w:sz="0" w:space="0" w:color="auto"/>
          </w:divBdr>
        </w:div>
        <w:div w:id="113720360">
          <w:marLeft w:val="0"/>
          <w:marRight w:val="0"/>
          <w:marTop w:val="166"/>
          <w:marBottom w:val="166"/>
          <w:divBdr>
            <w:top w:val="none" w:sz="0" w:space="0" w:color="auto"/>
            <w:left w:val="none" w:sz="0" w:space="0" w:color="auto"/>
            <w:bottom w:val="none" w:sz="0" w:space="0" w:color="auto"/>
            <w:right w:val="none" w:sz="0" w:space="0" w:color="auto"/>
          </w:divBdr>
        </w:div>
        <w:div w:id="1789854374">
          <w:marLeft w:val="0"/>
          <w:marRight w:val="0"/>
          <w:marTop w:val="0"/>
          <w:marBottom w:val="0"/>
          <w:divBdr>
            <w:top w:val="none" w:sz="0" w:space="0" w:color="auto"/>
            <w:left w:val="none" w:sz="0" w:space="0" w:color="auto"/>
            <w:bottom w:val="none" w:sz="0" w:space="0" w:color="auto"/>
            <w:right w:val="none" w:sz="0" w:space="0" w:color="auto"/>
          </w:divBdr>
        </w:div>
        <w:div w:id="1426538447">
          <w:marLeft w:val="0"/>
          <w:marRight w:val="0"/>
          <w:marTop w:val="0"/>
          <w:marBottom w:val="0"/>
          <w:divBdr>
            <w:top w:val="none" w:sz="0" w:space="0" w:color="auto"/>
            <w:left w:val="none" w:sz="0" w:space="0" w:color="auto"/>
            <w:bottom w:val="none" w:sz="0" w:space="0" w:color="auto"/>
            <w:right w:val="none" w:sz="0" w:space="0" w:color="auto"/>
          </w:divBdr>
        </w:div>
        <w:div w:id="1131165336">
          <w:marLeft w:val="0"/>
          <w:marRight w:val="0"/>
          <w:marTop w:val="0"/>
          <w:marBottom w:val="0"/>
          <w:divBdr>
            <w:top w:val="none" w:sz="0" w:space="0" w:color="auto"/>
            <w:left w:val="none" w:sz="0" w:space="0" w:color="auto"/>
            <w:bottom w:val="none" w:sz="0" w:space="0" w:color="auto"/>
            <w:right w:val="none" w:sz="0" w:space="0" w:color="auto"/>
          </w:divBdr>
          <w:divsChild>
            <w:div w:id="381904081">
              <w:marLeft w:val="0"/>
              <w:marRight w:val="0"/>
              <w:marTop w:val="0"/>
              <w:marBottom w:val="0"/>
              <w:divBdr>
                <w:top w:val="none" w:sz="0" w:space="0" w:color="auto"/>
                <w:left w:val="none" w:sz="0" w:space="0" w:color="auto"/>
                <w:bottom w:val="none" w:sz="0" w:space="0" w:color="auto"/>
                <w:right w:val="none" w:sz="0" w:space="0" w:color="auto"/>
              </w:divBdr>
              <w:divsChild>
                <w:div w:id="118306168">
                  <w:marLeft w:val="0"/>
                  <w:marRight w:val="0"/>
                  <w:marTop w:val="0"/>
                  <w:marBottom w:val="0"/>
                  <w:divBdr>
                    <w:top w:val="none" w:sz="0" w:space="0" w:color="auto"/>
                    <w:left w:val="none" w:sz="0" w:space="0" w:color="auto"/>
                    <w:bottom w:val="none" w:sz="0" w:space="0" w:color="auto"/>
                    <w:right w:val="none" w:sz="0" w:space="0" w:color="auto"/>
                  </w:divBdr>
                </w:div>
                <w:div w:id="1343893203">
                  <w:marLeft w:val="0"/>
                  <w:marRight w:val="0"/>
                  <w:marTop w:val="0"/>
                  <w:marBottom w:val="0"/>
                  <w:divBdr>
                    <w:top w:val="none" w:sz="0" w:space="0" w:color="auto"/>
                    <w:left w:val="none" w:sz="0" w:space="0" w:color="auto"/>
                    <w:bottom w:val="none" w:sz="0" w:space="0" w:color="auto"/>
                    <w:right w:val="none" w:sz="0" w:space="0" w:color="auto"/>
                  </w:divBdr>
                </w:div>
                <w:div w:id="1726250825">
                  <w:marLeft w:val="0"/>
                  <w:marRight w:val="0"/>
                  <w:marTop w:val="0"/>
                  <w:marBottom w:val="0"/>
                  <w:divBdr>
                    <w:top w:val="none" w:sz="0" w:space="0" w:color="auto"/>
                    <w:left w:val="none" w:sz="0" w:space="0" w:color="auto"/>
                    <w:bottom w:val="none" w:sz="0" w:space="0" w:color="auto"/>
                    <w:right w:val="none" w:sz="0" w:space="0" w:color="auto"/>
                  </w:divBdr>
                </w:div>
                <w:div w:id="1347830132">
                  <w:marLeft w:val="0"/>
                  <w:marRight w:val="0"/>
                  <w:marTop w:val="0"/>
                  <w:marBottom w:val="0"/>
                  <w:divBdr>
                    <w:top w:val="none" w:sz="0" w:space="0" w:color="auto"/>
                    <w:left w:val="none" w:sz="0" w:space="0" w:color="auto"/>
                    <w:bottom w:val="none" w:sz="0" w:space="0" w:color="auto"/>
                    <w:right w:val="none" w:sz="0" w:space="0" w:color="auto"/>
                  </w:divBdr>
                </w:div>
                <w:div w:id="39643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621059">
      <w:bodyDiv w:val="1"/>
      <w:marLeft w:val="0"/>
      <w:marRight w:val="0"/>
      <w:marTop w:val="0"/>
      <w:marBottom w:val="0"/>
      <w:divBdr>
        <w:top w:val="none" w:sz="0" w:space="0" w:color="auto"/>
        <w:left w:val="none" w:sz="0" w:space="0" w:color="auto"/>
        <w:bottom w:val="none" w:sz="0" w:space="0" w:color="auto"/>
        <w:right w:val="none" w:sz="0" w:space="0" w:color="auto"/>
      </w:divBdr>
      <w:divsChild>
        <w:div w:id="1556157137">
          <w:marLeft w:val="0"/>
          <w:marRight w:val="0"/>
          <w:marTop w:val="0"/>
          <w:marBottom w:val="0"/>
          <w:divBdr>
            <w:top w:val="none" w:sz="0" w:space="0" w:color="auto"/>
            <w:left w:val="none" w:sz="0" w:space="0" w:color="auto"/>
            <w:bottom w:val="none" w:sz="0" w:space="0" w:color="auto"/>
            <w:right w:val="none" w:sz="0" w:space="0" w:color="auto"/>
          </w:divBdr>
        </w:div>
        <w:div w:id="1957246956">
          <w:marLeft w:val="0"/>
          <w:marRight w:val="0"/>
          <w:marTop w:val="0"/>
          <w:marBottom w:val="0"/>
          <w:divBdr>
            <w:top w:val="none" w:sz="0" w:space="0" w:color="auto"/>
            <w:left w:val="none" w:sz="0" w:space="0" w:color="auto"/>
            <w:bottom w:val="none" w:sz="0" w:space="0" w:color="auto"/>
            <w:right w:val="none" w:sz="0" w:space="0" w:color="auto"/>
          </w:divBdr>
        </w:div>
        <w:div w:id="1985617400">
          <w:marLeft w:val="0"/>
          <w:marRight w:val="0"/>
          <w:marTop w:val="0"/>
          <w:marBottom w:val="0"/>
          <w:divBdr>
            <w:top w:val="none" w:sz="0" w:space="0" w:color="auto"/>
            <w:left w:val="none" w:sz="0" w:space="0" w:color="auto"/>
            <w:bottom w:val="none" w:sz="0" w:space="0" w:color="auto"/>
            <w:right w:val="none" w:sz="0" w:space="0" w:color="auto"/>
          </w:divBdr>
        </w:div>
        <w:div w:id="1358846329">
          <w:marLeft w:val="0"/>
          <w:marRight w:val="0"/>
          <w:marTop w:val="0"/>
          <w:marBottom w:val="0"/>
          <w:divBdr>
            <w:top w:val="none" w:sz="0" w:space="0" w:color="auto"/>
            <w:left w:val="none" w:sz="0" w:space="0" w:color="auto"/>
            <w:bottom w:val="none" w:sz="0" w:space="0" w:color="auto"/>
            <w:right w:val="none" w:sz="0" w:space="0" w:color="auto"/>
          </w:divBdr>
        </w:div>
        <w:div w:id="305865392">
          <w:marLeft w:val="0"/>
          <w:marRight w:val="0"/>
          <w:marTop w:val="0"/>
          <w:marBottom w:val="0"/>
          <w:divBdr>
            <w:top w:val="none" w:sz="0" w:space="0" w:color="auto"/>
            <w:left w:val="none" w:sz="0" w:space="0" w:color="auto"/>
            <w:bottom w:val="none" w:sz="0" w:space="0" w:color="auto"/>
            <w:right w:val="none" w:sz="0" w:space="0" w:color="auto"/>
          </w:divBdr>
        </w:div>
        <w:div w:id="1594629202">
          <w:marLeft w:val="0"/>
          <w:marRight w:val="0"/>
          <w:marTop w:val="0"/>
          <w:marBottom w:val="0"/>
          <w:divBdr>
            <w:top w:val="none" w:sz="0" w:space="0" w:color="auto"/>
            <w:left w:val="none" w:sz="0" w:space="0" w:color="auto"/>
            <w:bottom w:val="none" w:sz="0" w:space="0" w:color="auto"/>
            <w:right w:val="none" w:sz="0" w:space="0" w:color="auto"/>
          </w:divBdr>
        </w:div>
        <w:div w:id="2062751691">
          <w:marLeft w:val="0"/>
          <w:marRight w:val="0"/>
          <w:marTop w:val="0"/>
          <w:marBottom w:val="0"/>
          <w:divBdr>
            <w:top w:val="none" w:sz="0" w:space="0" w:color="auto"/>
            <w:left w:val="none" w:sz="0" w:space="0" w:color="auto"/>
            <w:bottom w:val="none" w:sz="0" w:space="0" w:color="auto"/>
            <w:right w:val="none" w:sz="0" w:space="0" w:color="auto"/>
          </w:divBdr>
        </w:div>
        <w:div w:id="1280531228">
          <w:marLeft w:val="0"/>
          <w:marRight w:val="0"/>
          <w:marTop w:val="0"/>
          <w:marBottom w:val="0"/>
          <w:divBdr>
            <w:top w:val="none" w:sz="0" w:space="0" w:color="auto"/>
            <w:left w:val="none" w:sz="0" w:space="0" w:color="auto"/>
            <w:bottom w:val="none" w:sz="0" w:space="0" w:color="auto"/>
            <w:right w:val="none" w:sz="0" w:space="0" w:color="auto"/>
          </w:divBdr>
        </w:div>
        <w:div w:id="1594702435">
          <w:marLeft w:val="0"/>
          <w:marRight w:val="0"/>
          <w:marTop w:val="0"/>
          <w:marBottom w:val="0"/>
          <w:divBdr>
            <w:top w:val="none" w:sz="0" w:space="0" w:color="auto"/>
            <w:left w:val="none" w:sz="0" w:space="0" w:color="auto"/>
            <w:bottom w:val="none" w:sz="0" w:space="0" w:color="auto"/>
            <w:right w:val="none" w:sz="0" w:space="0" w:color="auto"/>
          </w:divBdr>
        </w:div>
        <w:div w:id="2114394884">
          <w:marLeft w:val="0"/>
          <w:marRight w:val="0"/>
          <w:marTop w:val="0"/>
          <w:marBottom w:val="0"/>
          <w:divBdr>
            <w:top w:val="none" w:sz="0" w:space="0" w:color="auto"/>
            <w:left w:val="none" w:sz="0" w:space="0" w:color="auto"/>
            <w:bottom w:val="none" w:sz="0" w:space="0" w:color="auto"/>
            <w:right w:val="none" w:sz="0" w:space="0" w:color="auto"/>
          </w:divBdr>
        </w:div>
        <w:div w:id="165172417">
          <w:marLeft w:val="0"/>
          <w:marRight w:val="0"/>
          <w:marTop w:val="0"/>
          <w:marBottom w:val="0"/>
          <w:divBdr>
            <w:top w:val="none" w:sz="0" w:space="0" w:color="auto"/>
            <w:left w:val="none" w:sz="0" w:space="0" w:color="auto"/>
            <w:bottom w:val="none" w:sz="0" w:space="0" w:color="auto"/>
            <w:right w:val="none" w:sz="0" w:space="0" w:color="auto"/>
          </w:divBdr>
        </w:div>
      </w:divsChild>
    </w:div>
    <w:div w:id="646983402">
      <w:bodyDiv w:val="1"/>
      <w:marLeft w:val="0"/>
      <w:marRight w:val="0"/>
      <w:marTop w:val="0"/>
      <w:marBottom w:val="0"/>
      <w:divBdr>
        <w:top w:val="none" w:sz="0" w:space="0" w:color="auto"/>
        <w:left w:val="none" w:sz="0" w:space="0" w:color="auto"/>
        <w:bottom w:val="none" w:sz="0" w:space="0" w:color="auto"/>
        <w:right w:val="none" w:sz="0" w:space="0" w:color="auto"/>
      </w:divBdr>
    </w:div>
    <w:div w:id="1725791513">
      <w:bodyDiv w:val="1"/>
      <w:marLeft w:val="0"/>
      <w:marRight w:val="0"/>
      <w:marTop w:val="0"/>
      <w:marBottom w:val="0"/>
      <w:divBdr>
        <w:top w:val="none" w:sz="0" w:space="0" w:color="auto"/>
        <w:left w:val="none" w:sz="0" w:space="0" w:color="auto"/>
        <w:bottom w:val="none" w:sz="0" w:space="0" w:color="auto"/>
        <w:right w:val="none" w:sz="0" w:space="0" w:color="auto"/>
      </w:divBdr>
      <w:divsChild>
        <w:div w:id="1840076946">
          <w:marLeft w:val="0"/>
          <w:marRight w:val="0"/>
          <w:marTop w:val="0"/>
          <w:marBottom w:val="0"/>
          <w:divBdr>
            <w:top w:val="none" w:sz="0" w:space="0" w:color="auto"/>
            <w:left w:val="none" w:sz="0" w:space="0" w:color="auto"/>
            <w:bottom w:val="none" w:sz="0" w:space="0" w:color="auto"/>
            <w:right w:val="none" w:sz="0" w:space="0" w:color="auto"/>
          </w:divBdr>
        </w:div>
        <w:div w:id="1867058272">
          <w:marLeft w:val="0"/>
          <w:marRight w:val="0"/>
          <w:marTop w:val="0"/>
          <w:marBottom w:val="0"/>
          <w:divBdr>
            <w:top w:val="none" w:sz="0" w:space="0" w:color="auto"/>
            <w:left w:val="none" w:sz="0" w:space="0" w:color="auto"/>
            <w:bottom w:val="none" w:sz="0" w:space="0" w:color="auto"/>
            <w:right w:val="none" w:sz="0" w:space="0" w:color="auto"/>
          </w:divBdr>
        </w:div>
        <w:div w:id="1042946802">
          <w:marLeft w:val="0"/>
          <w:marRight w:val="0"/>
          <w:marTop w:val="0"/>
          <w:marBottom w:val="0"/>
          <w:divBdr>
            <w:top w:val="none" w:sz="0" w:space="0" w:color="auto"/>
            <w:left w:val="none" w:sz="0" w:space="0" w:color="auto"/>
            <w:bottom w:val="none" w:sz="0" w:space="0" w:color="auto"/>
            <w:right w:val="none" w:sz="0" w:space="0" w:color="auto"/>
          </w:divBdr>
        </w:div>
        <w:div w:id="1141725983">
          <w:marLeft w:val="0"/>
          <w:marRight w:val="0"/>
          <w:marTop w:val="0"/>
          <w:marBottom w:val="0"/>
          <w:divBdr>
            <w:top w:val="none" w:sz="0" w:space="0" w:color="auto"/>
            <w:left w:val="none" w:sz="0" w:space="0" w:color="auto"/>
            <w:bottom w:val="none" w:sz="0" w:space="0" w:color="auto"/>
            <w:right w:val="none" w:sz="0" w:space="0" w:color="auto"/>
          </w:divBdr>
        </w:div>
        <w:div w:id="1242444430">
          <w:marLeft w:val="0"/>
          <w:marRight w:val="0"/>
          <w:marTop w:val="0"/>
          <w:marBottom w:val="0"/>
          <w:divBdr>
            <w:top w:val="none" w:sz="0" w:space="0" w:color="auto"/>
            <w:left w:val="none" w:sz="0" w:space="0" w:color="auto"/>
            <w:bottom w:val="none" w:sz="0" w:space="0" w:color="auto"/>
            <w:right w:val="none" w:sz="0" w:space="0" w:color="auto"/>
          </w:divBdr>
        </w:div>
        <w:div w:id="2053113676">
          <w:marLeft w:val="0"/>
          <w:marRight w:val="0"/>
          <w:marTop w:val="0"/>
          <w:marBottom w:val="0"/>
          <w:divBdr>
            <w:top w:val="none" w:sz="0" w:space="0" w:color="auto"/>
            <w:left w:val="none" w:sz="0" w:space="0" w:color="auto"/>
            <w:bottom w:val="none" w:sz="0" w:space="0" w:color="auto"/>
            <w:right w:val="none" w:sz="0" w:space="0" w:color="auto"/>
          </w:divBdr>
        </w:div>
        <w:div w:id="1143155192">
          <w:marLeft w:val="0"/>
          <w:marRight w:val="0"/>
          <w:marTop w:val="0"/>
          <w:marBottom w:val="0"/>
          <w:divBdr>
            <w:top w:val="none" w:sz="0" w:space="0" w:color="auto"/>
            <w:left w:val="none" w:sz="0" w:space="0" w:color="auto"/>
            <w:bottom w:val="none" w:sz="0" w:space="0" w:color="auto"/>
            <w:right w:val="none" w:sz="0" w:space="0" w:color="auto"/>
          </w:divBdr>
        </w:div>
        <w:div w:id="877739535">
          <w:marLeft w:val="0"/>
          <w:marRight w:val="0"/>
          <w:marTop w:val="0"/>
          <w:marBottom w:val="0"/>
          <w:divBdr>
            <w:top w:val="none" w:sz="0" w:space="0" w:color="auto"/>
            <w:left w:val="none" w:sz="0" w:space="0" w:color="auto"/>
            <w:bottom w:val="none" w:sz="0" w:space="0" w:color="auto"/>
            <w:right w:val="none" w:sz="0" w:space="0" w:color="auto"/>
          </w:divBdr>
        </w:div>
        <w:div w:id="352878310">
          <w:marLeft w:val="0"/>
          <w:marRight w:val="0"/>
          <w:marTop w:val="0"/>
          <w:marBottom w:val="0"/>
          <w:divBdr>
            <w:top w:val="none" w:sz="0" w:space="0" w:color="auto"/>
            <w:left w:val="none" w:sz="0" w:space="0" w:color="auto"/>
            <w:bottom w:val="none" w:sz="0" w:space="0" w:color="auto"/>
            <w:right w:val="none" w:sz="0" w:space="0" w:color="auto"/>
          </w:divBdr>
        </w:div>
        <w:div w:id="1702125071">
          <w:marLeft w:val="0"/>
          <w:marRight w:val="0"/>
          <w:marTop w:val="0"/>
          <w:marBottom w:val="0"/>
          <w:divBdr>
            <w:top w:val="none" w:sz="0" w:space="0" w:color="auto"/>
            <w:left w:val="none" w:sz="0" w:space="0" w:color="auto"/>
            <w:bottom w:val="none" w:sz="0" w:space="0" w:color="auto"/>
            <w:right w:val="none" w:sz="0" w:space="0" w:color="auto"/>
          </w:divBdr>
        </w:div>
        <w:div w:id="192615214">
          <w:marLeft w:val="0"/>
          <w:marRight w:val="0"/>
          <w:marTop w:val="0"/>
          <w:marBottom w:val="0"/>
          <w:divBdr>
            <w:top w:val="none" w:sz="0" w:space="0" w:color="auto"/>
            <w:left w:val="none" w:sz="0" w:space="0" w:color="auto"/>
            <w:bottom w:val="none" w:sz="0" w:space="0" w:color="auto"/>
            <w:right w:val="none" w:sz="0" w:space="0" w:color="auto"/>
          </w:divBdr>
        </w:div>
        <w:div w:id="11881525">
          <w:marLeft w:val="0"/>
          <w:marRight w:val="0"/>
          <w:marTop w:val="0"/>
          <w:marBottom w:val="0"/>
          <w:divBdr>
            <w:top w:val="none" w:sz="0" w:space="0" w:color="auto"/>
            <w:left w:val="none" w:sz="0" w:space="0" w:color="auto"/>
            <w:bottom w:val="none" w:sz="0" w:space="0" w:color="auto"/>
            <w:right w:val="none" w:sz="0" w:space="0" w:color="auto"/>
          </w:divBdr>
        </w:div>
        <w:div w:id="446196018">
          <w:marLeft w:val="0"/>
          <w:marRight w:val="0"/>
          <w:marTop w:val="0"/>
          <w:marBottom w:val="0"/>
          <w:divBdr>
            <w:top w:val="none" w:sz="0" w:space="0" w:color="auto"/>
            <w:left w:val="none" w:sz="0" w:space="0" w:color="auto"/>
            <w:bottom w:val="none" w:sz="0" w:space="0" w:color="auto"/>
            <w:right w:val="none" w:sz="0" w:space="0" w:color="auto"/>
          </w:divBdr>
        </w:div>
        <w:div w:id="1500465970">
          <w:marLeft w:val="0"/>
          <w:marRight w:val="0"/>
          <w:marTop w:val="0"/>
          <w:marBottom w:val="0"/>
          <w:divBdr>
            <w:top w:val="none" w:sz="0" w:space="0" w:color="auto"/>
            <w:left w:val="none" w:sz="0" w:space="0" w:color="auto"/>
            <w:bottom w:val="none" w:sz="0" w:space="0" w:color="auto"/>
            <w:right w:val="none" w:sz="0" w:space="0" w:color="auto"/>
          </w:divBdr>
        </w:div>
        <w:div w:id="1606184617">
          <w:marLeft w:val="0"/>
          <w:marRight w:val="0"/>
          <w:marTop w:val="0"/>
          <w:marBottom w:val="0"/>
          <w:divBdr>
            <w:top w:val="none" w:sz="0" w:space="0" w:color="auto"/>
            <w:left w:val="none" w:sz="0" w:space="0" w:color="auto"/>
            <w:bottom w:val="none" w:sz="0" w:space="0" w:color="auto"/>
            <w:right w:val="none" w:sz="0" w:space="0" w:color="auto"/>
          </w:divBdr>
        </w:div>
      </w:divsChild>
    </w:div>
    <w:div w:id="1873495239">
      <w:bodyDiv w:val="1"/>
      <w:marLeft w:val="0"/>
      <w:marRight w:val="0"/>
      <w:marTop w:val="0"/>
      <w:marBottom w:val="0"/>
      <w:divBdr>
        <w:top w:val="none" w:sz="0" w:space="0" w:color="auto"/>
        <w:left w:val="none" w:sz="0" w:space="0" w:color="auto"/>
        <w:bottom w:val="none" w:sz="0" w:space="0" w:color="auto"/>
        <w:right w:val="none" w:sz="0" w:space="0" w:color="auto"/>
      </w:divBdr>
    </w:div>
    <w:div w:id="2072921966">
      <w:bodyDiv w:val="1"/>
      <w:marLeft w:val="0"/>
      <w:marRight w:val="0"/>
      <w:marTop w:val="0"/>
      <w:marBottom w:val="0"/>
      <w:divBdr>
        <w:top w:val="none" w:sz="0" w:space="0" w:color="auto"/>
        <w:left w:val="none" w:sz="0" w:space="0" w:color="auto"/>
        <w:bottom w:val="none" w:sz="0" w:space="0" w:color="auto"/>
        <w:right w:val="none" w:sz="0" w:space="0" w:color="auto"/>
      </w:divBdr>
      <w:divsChild>
        <w:div w:id="1679236804">
          <w:marLeft w:val="0"/>
          <w:marRight w:val="0"/>
          <w:marTop w:val="0"/>
          <w:marBottom w:val="0"/>
          <w:divBdr>
            <w:top w:val="none" w:sz="0" w:space="0" w:color="auto"/>
            <w:left w:val="none" w:sz="0" w:space="0" w:color="auto"/>
            <w:bottom w:val="none" w:sz="0" w:space="0" w:color="auto"/>
            <w:right w:val="none" w:sz="0" w:space="0" w:color="auto"/>
          </w:divBdr>
        </w:div>
        <w:div w:id="1468351456">
          <w:marLeft w:val="0"/>
          <w:marRight w:val="0"/>
          <w:marTop w:val="0"/>
          <w:marBottom w:val="0"/>
          <w:divBdr>
            <w:top w:val="none" w:sz="0" w:space="0" w:color="auto"/>
            <w:left w:val="none" w:sz="0" w:space="0" w:color="auto"/>
            <w:bottom w:val="none" w:sz="0" w:space="0" w:color="auto"/>
            <w:right w:val="none" w:sz="0" w:space="0" w:color="auto"/>
          </w:divBdr>
        </w:div>
        <w:div w:id="2137868777">
          <w:marLeft w:val="0"/>
          <w:marRight w:val="0"/>
          <w:marTop w:val="0"/>
          <w:marBottom w:val="0"/>
          <w:divBdr>
            <w:top w:val="none" w:sz="0" w:space="0" w:color="auto"/>
            <w:left w:val="none" w:sz="0" w:space="0" w:color="auto"/>
            <w:bottom w:val="none" w:sz="0" w:space="0" w:color="auto"/>
            <w:right w:val="none" w:sz="0" w:space="0" w:color="auto"/>
          </w:divBdr>
        </w:div>
        <w:div w:id="2143960832">
          <w:marLeft w:val="0"/>
          <w:marRight w:val="0"/>
          <w:marTop w:val="0"/>
          <w:marBottom w:val="0"/>
          <w:divBdr>
            <w:top w:val="none" w:sz="0" w:space="0" w:color="auto"/>
            <w:left w:val="none" w:sz="0" w:space="0" w:color="auto"/>
            <w:bottom w:val="none" w:sz="0" w:space="0" w:color="auto"/>
            <w:right w:val="none" w:sz="0" w:space="0" w:color="auto"/>
          </w:divBdr>
        </w:div>
        <w:div w:id="1897089190">
          <w:marLeft w:val="0"/>
          <w:marRight w:val="0"/>
          <w:marTop w:val="0"/>
          <w:marBottom w:val="0"/>
          <w:divBdr>
            <w:top w:val="none" w:sz="0" w:space="0" w:color="auto"/>
            <w:left w:val="none" w:sz="0" w:space="0" w:color="auto"/>
            <w:bottom w:val="none" w:sz="0" w:space="0" w:color="auto"/>
            <w:right w:val="none" w:sz="0" w:space="0" w:color="auto"/>
          </w:divBdr>
        </w:div>
        <w:div w:id="363867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dc:creator>
  <cp:keywords/>
  <dc:description/>
  <cp:lastModifiedBy>Maria</cp:lastModifiedBy>
  <cp:revision>2</cp:revision>
  <dcterms:created xsi:type="dcterms:W3CDTF">2024-06-10T14:46:00Z</dcterms:created>
  <dcterms:modified xsi:type="dcterms:W3CDTF">2024-06-10T14:46:00Z</dcterms:modified>
</cp:coreProperties>
</file>