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70AFD" w14:textId="77777777" w:rsidR="00175F10" w:rsidRPr="00AD55F0" w:rsidRDefault="00175F10" w:rsidP="00471AF1">
      <w:pPr>
        <w:jc w:val="both"/>
      </w:pPr>
      <w:bookmarkStart w:id="0" w:name="_GoBack"/>
      <w:bookmarkEnd w:id="0"/>
    </w:p>
    <w:p w14:paraId="1FE2D729" w14:textId="71F7A324" w:rsidR="00E67861" w:rsidRPr="00D331A6" w:rsidRDefault="00D331A6" w:rsidP="00471AF1">
      <w:pPr>
        <w:jc w:val="both"/>
        <w:rPr>
          <w:b/>
        </w:rPr>
      </w:pPr>
      <w:r w:rsidRPr="00D331A6">
        <w:rPr>
          <w:b/>
        </w:rPr>
        <w:t>ANGIOEDEMUL EREDITAR</w:t>
      </w:r>
      <w:r w:rsidR="00044381">
        <w:rPr>
          <w:b/>
        </w:rPr>
        <w:t xml:space="preserve"> (</w:t>
      </w:r>
      <w:r w:rsidR="00A361E4">
        <w:rPr>
          <w:b/>
        </w:rPr>
        <w:t>AEE</w:t>
      </w:r>
      <w:r w:rsidR="00044381">
        <w:rPr>
          <w:b/>
        </w:rPr>
        <w:t>)</w:t>
      </w:r>
    </w:p>
    <w:p w14:paraId="5C651636" w14:textId="40AE2524" w:rsidR="00E67861" w:rsidRPr="00AD55F0" w:rsidRDefault="00AD55F0" w:rsidP="00471AF1">
      <w:pPr>
        <w:jc w:val="both"/>
        <w:rPr>
          <w:b/>
        </w:rPr>
      </w:pPr>
      <w:r w:rsidRPr="00AD55F0">
        <w:rPr>
          <w:b/>
        </w:rPr>
        <w:t>Iulia Simina</w:t>
      </w:r>
    </w:p>
    <w:p w14:paraId="5838514A" w14:textId="77777777" w:rsidR="00E67861" w:rsidRPr="00AD55F0" w:rsidRDefault="00E67861" w:rsidP="00471AF1">
      <w:pPr>
        <w:jc w:val="both"/>
        <w:rPr>
          <w:b/>
        </w:rPr>
      </w:pPr>
    </w:p>
    <w:p w14:paraId="2D11F90C" w14:textId="318DD64B" w:rsidR="00E67861" w:rsidRPr="00800598" w:rsidRDefault="00E67861" w:rsidP="00471AF1">
      <w:pPr>
        <w:jc w:val="both"/>
        <w:rPr>
          <w:b/>
          <w:i/>
        </w:rPr>
      </w:pPr>
      <w:r w:rsidRPr="00800598">
        <w:rPr>
          <w:b/>
          <w:i/>
        </w:rPr>
        <w:t>Definiţie clinică</w:t>
      </w:r>
    </w:p>
    <w:p w14:paraId="0C3D93A6" w14:textId="464524C2" w:rsidR="00471AF1" w:rsidRDefault="00471AF1" w:rsidP="00471AF1">
      <w:pPr>
        <w:jc w:val="both"/>
      </w:pPr>
      <w:r w:rsidRPr="00471AF1">
        <w:t xml:space="preserve">Angioedemul ereditar </w:t>
      </w:r>
      <w:r>
        <w:t>(</w:t>
      </w:r>
      <w:r w:rsidR="00A361E4">
        <w:t>AEE</w:t>
      </w:r>
      <w:r>
        <w:t xml:space="preserve">) </w:t>
      </w:r>
      <w:r w:rsidRPr="00471AF1">
        <w:t xml:space="preserve">este o afecțiune </w:t>
      </w:r>
      <w:r>
        <w:t xml:space="preserve">genetică </w:t>
      </w:r>
      <w:r w:rsidRPr="00471AF1">
        <w:t xml:space="preserve">rară </w:t>
      </w:r>
      <w:r>
        <w:t>cu transmitere autozomal domiantă</w:t>
      </w:r>
      <w:r w:rsidRPr="00471AF1">
        <w:t xml:space="preserve">, </w:t>
      </w:r>
      <w:r w:rsidR="001377C0">
        <w:t xml:space="preserve">cu potențial letal, </w:t>
      </w:r>
      <w:r w:rsidRPr="00471AF1">
        <w:t xml:space="preserve">caracterizată prin episoade recurente de </w:t>
      </w:r>
      <w:r>
        <w:t>edem vasogenic (</w:t>
      </w:r>
      <w:r w:rsidRPr="00471AF1">
        <w:t>acumulare rapidă de lichide</w:t>
      </w:r>
      <w:r>
        <w:t>)</w:t>
      </w:r>
      <w:r w:rsidRPr="00471AF1">
        <w:t xml:space="preserve"> în </w:t>
      </w:r>
      <w:r>
        <w:t xml:space="preserve">țesutul intersițial </w:t>
      </w:r>
      <w:r w:rsidRPr="00471AF1">
        <w:t>a</w:t>
      </w:r>
      <w:r>
        <w:t>l</w:t>
      </w:r>
      <w:r w:rsidRPr="00471AF1">
        <w:t xml:space="preserve"> mâini</w:t>
      </w:r>
      <w:r>
        <w:t>lor</w:t>
      </w:r>
      <w:r w:rsidRPr="00471AF1">
        <w:t>, picioare</w:t>
      </w:r>
      <w:r>
        <w:t>lor</w:t>
      </w:r>
      <w:r w:rsidRPr="00471AF1">
        <w:t>, f</w:t>
      </w:r>
      <w:r>
        <w:t>e</w:t>
      </w:r>
      <w:r w:rsidRPr="00471AF1">
        <w:t>ț</w:t>
      </w:r>
      <w:r>
        <w:t>ei</w:t>
      </w:r>
      <w:r w:rsidRPr="00471AF1">
        <w:t>, tractul</w:t>
      </w:r>
      <w:r>
        <w:t>ui</w:t>
      </w:r>
      <w:r w:rsidRPr="00471AF1">
        <w:t xml:space="preserve"> intestinal sau căil</w:t>
      </w:r>
      <w:r>
        <w:t>or</w:t>
      </w:r>
      <w:r w:rsidRPr="00471AF1">
        <w:t xml:space="preserve"> respirat</w:t>
      </w:r>
      <w:r>
        <w:t>orii. Această</w:t>
      </w:r>
      <w:r w:rsidRPr="00471AF1">
        <w:t xml:space="preserve"> tumefacție subcutanată sau submucoasă localizată, autolimitată și tranzitorie</w:t>
      </w:r>
      <w:r>
        <w:t xml:space="preserve"> poate asocia</w:t>
      </w:r>
      <w:r w:rsidRPr="00471AF1">
        <w:t xml:space="preserve"> episoade de urticarie </w:t>
      </w:r>
      <w:r>
        <w:t xml:space="preserve">și </w:t>
      </w:r>
      <w:r w:rsidRPr="00471AF1">
        <w:t xml:space="preserve">dispare </w:t>
      </w:r>
      <w:r>
        <w:t xml:space="preserve">în mod uzual </w:t>
      </w:r>
      <w:r w:rsidRPr="00471AF1">
        <w:t>în 24-37 de ore</w:t>
      </w:r>
      <w:r>
        <w:t>.</w:t>
      </w:r>
      <w:r w:rsidRPr="00471AF1">
        <w:t xml:space="preserve"> </w:t>
      </w:r>
      <w:r w:rsidRPr="00044381">
        <w:t xml:space="preserve">Cea mai de temut complicație este </w:t>
      </w:r>
      <w:r>
        <w:t xml:space="preserve">edemul </w:t>
      </w:r>
      <w:r w:rsidRPr="00044381">
        <w:t xml:space="preserve">căilor </w:t>
      </w:r>
      <w:r w:rsidR="00A361E4">
        <w:t>ae</w:t>
      </w:r>
      <w:r w:rsidRPr="00044381">
        <w:t xml:space="preserve">riene superioare care poate duce la asfixiere. Din fericire, implicarea căilor </w:t>
      </w:r>
      <w:r w:rsidR="00A361E4">
        <w:t>ae</w:t>
      </w:r>
      <w:r w:rsidRPr="00044381">
        <w:t>riene superioare este rară.</w:t>
      </w:r>
    </w:p>
    <w:p w14:paraId="03937627" w14:textId="1FA0743D" w:rsidR="00E67861" w:rsidRDefault="00A361E4" w:rsidP="00471AF1">
      <w:pPr>
        <w:jc w:val="both"/>
      </w:pPr>
      <w:r>
        <w:t>AEE</w:t>
      </w:r>
      <w:r w:rsidR="00471AF1">
        <w:t xml:space="preserve"> este cauzat</w:t>
      </w:r>
      <w:r w:rsidR="00044381" w:rsidRPr="00044381">
        <w:t xml:space="preserve"> fie de lipsa proteinei inhibitoare C1, fie de proteina i</w:t>
      </w:r>
      <w:r w:rsidR="00AD590F">
        <w:t xml:space="preserve">nhibitoare C1 disfuncțională. </w:t>
      </w:r>
    </w:p>
    <w:p w14:paraId="61FD1D17" w14:textId="77777777" w:rsidR="00044381" w:rsidRPr="00AD55F0" w:rsidRDefault="00044381" w:rsidP="00471AF1">
      <w:pPr>
        <w:jc w:val="both"/>
      </w:pPr>
    </w:p>
    <w:p w14:paraId="14DC8F74" w14:textId="77777777" w:rsidR="00E67861" w:rsidRPr="00800598" w:rsidRDefault="00E67861" w:rsidP="00471AF1">
      <w:pPr>
        <w:jc w:val="both"/>
        <w:rPr>
          <w:b/>
          <w:i/>
        </w:rPr>
      </w:pPr>
      <w:r w:rsidRPr="00800598">
        <w:rPr>
          <w:b/>
          <w:i/>
        </w:rPr>
        <w:t>Frecvenţa bolii</w:t>
      </w:r>
    </w:p>
    <w:p w14:paraId="4B2869B8" w14:textId="5070837A" w:rsidR="00E67861" w:rsidRDefault="00AD590F" w:rsidP="00471AF1">
      <w:pPr>
        <w:jc w:val="both"/>
      </w:pPr>
      <w:r>
        <w:t xml:space="preserve">Prevalența </w:t>
      </w:r>
      <w:r w:rsidR="00A361E4">
        <w:t>AEE</w:t>
      </w:r>
      <w:r w:rsidRPr="00AD590F">
        <w:t xml:space="preserve"> a fost raportată a fi de la </w:t>
      </w:r>
      <w:r>
        <w:t xml:space="preserve">1 la 10.000 la 1 la 150.000. </w:t>
      </w:r>
      <w:r w:rsidR="00A361E4">
        <w:t>AEE</w:t>
      </w:r>
      <w:r w:rsidRPr="00AD590F">
        <w:t xml:space="preserve"> nu prezintă diferențe etnice sau de sex, dar tinde să fie mai severă la femei</w:t>
      </w:r>
      <w:r>
        <w:t>.</w:t>
      </w:r>
    </w:p>
    <w:p w14:paraId="3B09CA30" w14:textId="77777777" w:rsidR="00AD590F" w:rsidRPr="00AD55F0" w:rsidRDefault="00AD590F" w:rsidP="00471AF1">
      <w:pPr>
        <w:jc w:val="both"/>
      </w:pPr>
    </w:p>
    <w:p w14:paraId="534B8E71" w14:textId="77777777" w:rsidR="00E67861" w:rsidRPr="00800598" w:rsidRDefault="00E67861" w:rsidP="00471AF1">
      <w:pPr>
        <w:jc w:val="both"/>
        <w:rPr>
          <w:b/>
          <w:i/>
        </w:rPr>
      </w:pPr>
      <w:r w:rsidRPr="00800598">
        <w:rPr>
          <w:b/>
          <w:i/>
        </w:rPr>
        <w:t>Aspecte genetice</w:t>
      </w:r>
    </w:p>
    <w:p w14:paraId="75F28494" w14:textId="48B9F842" w:rsidR="006435A6" w:rsidRDefault="00AD7EBB" w:rsidP="00471AF1">
      <w:pPr>
        <w:jc w:val="both"/>
      </w:pPr>
      <w:r w:rsidRPr="00AD7EBB">
        <w:t>În 1963, Donaldson și Evans au descoperit</w:t>
      </w:r>
      <w:r>
        <w:t xml:space="preserve"> că </w:t>
      </w:r>
      <w:r w:rsidR="00A361E4">
        <w:t>AEE</w:t>
      </w:r>
      <w:r w:rsidRPr="00AD7EBB">
        <w:t xml:space="preserve"> </w:t>
      </w:r>
      <w:r>
        <w:t>este</w:t>
      </w:r>
      <w:r w:rsidR="00A361E4">
        <w:t xml:space="preserve"> cauzat</w:t>
      </w:r>
      <w:r w:rsidRPr="00AD7EBB">
        <w:t xml:space="preserve"> de o deficiență genetică a inhibitorului C1 (C1-INH).</w:t>
      </w:r>
      <w:r w:rsidR="00B64B22">
        <w:t xml:space="preserve"> </w:t>
      </w:r>
      <w:r w:rsidR="006435A6" w:rsidRPr="006435A6">
        <w:t>Mutațiile din SERPING1, gena care codifică C1-INH, sunt responsabile pentru majoritatea cazurilor de angioedem ereditar</w:t>
      </w:r>
      <w:r w:rsidR="006435A6">
        <w:t>.</w:t>
      </w:r>
    </w:p>
    <w:p w14:paraId="3CF2466F" w14:textId="03B89076" w:rsidR="00BA58E8" w:rsidRDefault="00AD7EBB" w:rsidP="00BA58E8">
      <w:pPr>
        <w:jc w:val="both"/>
      </w:pPr>
      <w:r w:rsidRPr="00AD7EBB">
        <w:t xml:space="preserve">De atunci, multe studii ample au stabilit că cel mai frecvent tip de </w:t>
      </w:r>
      <w:r w:rsidR="00A361E4">
        <w:t>AEE</w:t>
      </w:r>
      <w:r w:rsidRPr="00AD7EBB">
        <w:t xml:space="preserve"> este rezultatul </w:t>
      </w:r>
      <w:r>
        <w:t xml:space="preserve">variantelor patogene </w:t>
      </w:r>
      <w:r w:rsidRPr="00AD7EBB">
        <w:t xml:space="preserve">genetice care au ca rezultat o reducere a C1-INH </w:t>
      </w:r>
      <w:r>
        <w:t>plasmatic</w:t>
      </w:r>
      <w:r w:rsidRPr="00AD7EBB">
        <w:t xml:space="preserve"> f</w:t>
      </w:r>
      <w:r>
        <w:t>uncțional</w:t>
      </w:r>
      <w:r w:rsidRPr="00AD7EBB">
        <w:t>. Pierderea activității inhibitoare a C1-INH duce la supraproducție de bradikinină</w:t>
      </w:r>
      <w:r w:rsidR="00687945">
        <w:t xml:space="preserve">, </w:t>
      </w:r>
      <w:r w:rsidR="00687945" w:rsidRPr="00687945">
        <w:t>o peptidă vasoactivă și principalul activator al receptorului bradikininei B2 exprimat în celulele endoteliale a căror activare duce la creșterea permeabilității vasculare și a ede</w:t>
      </w:r>
      <w:r w:rsidR="00687945">
        <w:t xml:space="preserve">mului, determinând simptomele </w:t>
      </w:r>
      <w:r w:rsidR="00A361E4">
        <w:t>AEE</w:t>
      </w:r>
      <w:r w:rsidRPr="00AD7EBB">
        <w:t>.</w:t>
      </w:r>
      <w:r>
        <w:t xml:space="preserve"> </w:t>
      </w:r>
      <w:r w:rsidRPr="00AD7EBB">
        <w:t>Acest</w:t>
      </w:r>
      <w:r w:rsidR="00687945">
        <w:t xml:space="preserve"> mecanism</w:t>
      </w:r>
      <w:r w:rsidRPr="00AD7EBB">
        <w:t xml:space="preserve"> ar</w:t>
      </w:r>
      <w:r>
        <w:t xml:space="preserve">e ca rezultat două variante de </w:t>
      </w:r>
      <w:r w:rsidR="00A361E4">
        <w:t>AEE</w:t>
      </w:r>
      <w:r w:rsidRPr="00AD7EBB">
        <w:t xml:space="preserve">: </w:t>
      </w:r>
      <w:r>
        <w:t>C1-INH tip 1 rezultă dintr-un</w:t>
      </w:r>
      <w:r w:rsidRPr="00AD7EBB">
        <w:t xml:space="preserve"> eșec de a sintetiza C1-INH, în timp ce în tipul 2, o proteină anormală, nefuncțională este sintetizată.</w:t>
      </w:r>
      <w:r>
        <w:t xml:space="preserve"> </w:t>
      </w:r>
    </w:p>
    <w:p w14:paraId="6C1FC838" w14:textId="08D0C31E" w:rsidR="006435A6" w:rsidRPr="00AD55F0" w:rsidRDefault="006435A6" w:rsidP="00BA58E8">
      <w:pPr>
        <w:jc w:val="both"/>
      </w:pPr>
      <w:r w:rsidRPr="006435A6">
        <w:t>Mai mult, a fost descrisă o boală moștenită</w:t>
      </w:r>
      <w:r w:rsidR="004F2B51">
        <w:t xml:space="preserve"> tot</w:t>
      </w:r>
      <w:r w:rsidRPr="006435A6">
        <w:t xml:space="preserve"> dominant care are un t</w:t>
      </w:r>
      <w:r>
        <w:t>ablou clinic similar cu C1-INH-</w:t>
      </w:r>
      <w:r w:rsidR="00A361E4">
        <w:t>AEE</w:t>
      </w:r>
      <w:r w:rsidRPr="006435A6">
        <w:t>, dar cu nivel și activitate normale</w:t>
      </w:r>
      <w:r>
        <w:t xml:space="preserve"> de C1-INH. Acest nou tip de </w:t>
      </w:r>
      <w:r w:rsidR="00A361E4">
        <w:t>AEE</w:t>
      </w:r>
      <w:r w:rsidRPr="006435A6">
        <w:t xml:space="preserve"> nu are nicio mutație în gena SERPING1</w:t>
      </w:r>
      <w:r>
        <w:t xml:space="preserve"> și este clasificat ca nC1-INH-</w:t>
      </w:r>
      <w:r w:rsidR="00A361E4">
        <w:t>AEE</w:t>
      </w:r>
      <w:r w:rsidR="00AF5387">
        <w:t xml:space="preserve"> – tip 3</w:t>
      </w:r>
      <w:r>
        <w:t>.</w:t>
      </w:r>
      <w:r w:rsidR="00BA58E8">
        <w:t xml:space="preserve"> Modificările genetice din acest tip clinic se regăsesc în genele: F12</w:t>
      </w:r>
      <w:r w:rsidR="00A361E4">
        <w:t xml:space="preserve"> (gena care codează pentru factorul XII al coagulării)</w:t>
      </w:r>
      <w:r w:rsidR="00BA58E8">
        <w:t>, PLG, ANGPT1, KNG1, MYOF, HS3ST6.</w:t>
      </w:r>
    </w:p>
    <w:p w14:paraId="27EFBA51" w14:textId="77777777" w:rsidR="00E67861" w:rsidRPr="00AD55F0" w:rsidRDefault="00E67861" w:rsidP="00471AF1">
      <w:pPr>
        <w:jc w:val="both"/>
      </w:pPr>
    </w:p>
    <w:p w14:paraId="21015F8D" w14:textId="686C907B" w:rsidR="00E67861" w:rsidRPr="00800598" w:rsidRDefault="00E67861" w:rsidP="00471AF1">
      <w:pPr>
        <w:jc w:val="both"/>
        <w:rPr>
          <w:b/>
          <w:i/>
        </w:rPr>
      </w:pPr>
      <w:r w:rsidRPr="00800598">
        <w:rPr>
          <w:b/>
          <w:i/>
        </w:rPr>
        <w:t>Semne clinice</w:t>
      </w:r>
    </w:p>
    <w:p w14:paraId="16B22DBB" w14:textId="3988FD65" w:rsidR="001377C0" w:rsidRDefault="001377C0" w:rsidP="006A12B7">
      <w:pPr>
        <w:jc w:val="both"/>
      </w:pPr>
      <w:r w:rsidRPr="001377C0">
        <w:t xml:space="preserve">Primele episoade de </w:t>
      </w:r>
      <w:r w:rsidR="00A361E4">
        <w:t>AEE</w:t>
      </w:r>
      <w:r w:rsidRPr="001377C0">
        <w:t xml:space="preserve"> apar, de obicei, în copilărie. Jumătate dintre pacienți sunt simptomatici din prima decadă de viată, iar o treime din decada a doua. La pubertate sau în adolescență frecvența atacurilor crește.</w:t>
      </w:r>
    </w:p>
    <w:p w14:paraId="20268AC6" w14:textId="28996800" w:rsidR="006A12B7" w:rsidRDefault="006A12B7" w:rsidP="006A12B7">
      <w:pPr>
        <w:jc w:val="both"/>
      </w:pPr>
      <w:r>
        <w:t xml:space="preserve">Simptomele variază ca severitate, locație și durată, dar organele implicate includ căile </w:t>
      </w:r>
      <w:r w:rsidR="00CB62CB">
        <w:t>ae</w:t>
      </w:r>
      <w:r>
        <w:t>riene superioare, pielea și tractul gastrointestinal. În aceasta din urmă, obstrucția intestinală creează simp</w:t>
      </w:r>
      <w:r w:rsidR="00FE3D12">
        <w:t>tomele. Umflarea pielii este desfigurantă</w:t>
      </w:r>
      <w:r>
        <w:t xml:space="preserve">, dar nu pruriginoasă; cu toate acestea, dacă </w:t>
      </w:r>
      <w:r w:rsidR="00032B0F">
        <w:t xml:space="preserve">este </w:t>
      </w:r>
      <w:r>
        <w:t>extrem</w:t>
      </w:r>
      <w:r w:rsidR="00032B0F">
        <w:t>ă,</w:t>
      </w:r>
      <w:r>
        <w:t xml:space="preserve"> poate fi durero</w:t>
      </w:r>
      <w:r w:rsidR="00032B0F">
        <w:t>a</w:t>
      </w:r>
      <w:r>
        <w:t>s</w:t>
      </w:r>
      <w:r w:rsidR="00032B0F">
        <w:t>ă</w:t>
      </w:r>
      <w:r>
        <w:t xml:space="preserve">. Principala </w:t>
      </w:r>
      <w:r w:rsidR="00032B0F">
        <w:t>îngrijorare o reprezintă edemul</w:t>
      </w:r>
      <w:r>
        <w:t xml:space="preserve"> căilor </w:t>
      </w:r>
      <w:r w:rsidR="00CB62CB">
        <w:t>ae</w:t>
      </w:r>
      <w:r>
        <w:t xml:space="preserve">riene superioare care poate duce la asfixiere. Din fericire, implicarea căilor </w:t>
      </w:r>
      <w:r w:rsidR="00CB62CB">
        <w:t>ae</w:t>
      </w:r>
      <w:r>
        <w:t>riene superioare reprezintă doar 1 până la 3% din atacuri.</w:t>
      </w:r>
    </w:p>
    <w:p w14:paraId="5ABDBE70" w14:textId="59E25B93" w:rsidR="00800598" w:rsidRDefault="006A12B7" w:rsidP="006A12B7">
      <w:pPr>
        <w:jc w:val="both"/>
      </w:pPr>
      <w:r>
        <w:t>Atacurile durează 2 până la 5 zile, de obicei crescând lent</w:t>
      </w:r>
      <w:r w:rsidR="00BF0C05">
        <w:t xml:space="preserve"> în intensitate</w:t>
      </w:r>
      <w:r>
        <w:t xml:space="preserve"> și apoi rezolvându-se chiar și fără terapie. Declanșatorii, cum ar fi traume, infecții, stres sau proceduri, sunt identificați în 40% dintre atacuri. Simptomele prodromale, inclusiv o erupție cutanată, denumită eritem marginat, apar înaintea majorității atacurilor, dar sensibilitatea și mai ales specificitatea sunt discutabile. Alți factori declanșatori includ inhibitorii </w:t>
      </w:r>
      <w:r w:rsidR="00032B0F">
        <w:t>enzimei de conversie a angiotensinei</w:t>
      </w:r>
      <w:r>
        <w:t xml:space="preserve"> și estrogenii.</w:t>
      </w:r>
    </w:p>
    <w:p w14:paraId="2A6B70F0" w14:textId="77777777" w:rsidR="006A12B7" w:rsidRPr="00800598" w:rsidRDefault="006A12B7" w:rsidP="006A12B7">
      <w:pPr>
        <w:jc w:val="both"/>
      </w:pPr>
    </w:p>
    <w:p w14:paraId="50FD4F6E" w14:textId="77777777" w:rsidR="00800598" w:rsidRPr="00800598" w:rsidRDefault="00800598" w:rsidP="00471AF1">
      <w:pPr>
        <w:jc w:val="both"/>
      </w:pPr>
      <w:r w:rsidRPr="00800598">
        <w:rPr>
          <w:b/>
          <w:bCs/>
          <w:i/>
          <w:iCs/>
        </w:rPr>
        <w:lastRenderedPageBreak/>
        <w:t>Stabilirea diagnosticului. Metode de diagnostic</w:t>
      </w:r>
    </w:p>
    <w:p w14:paraId="0D445EB3" w14:textId="2EAFF324" w:rsidR="00EF71B5" w:rsidRPr="00BF0C05" w:rsidRDefault="006A12B7" w:rsidP="00471AF1">
      <w:pPr>
        <w:jc w:val="both"/>
        <w:rPr>
          <w:color w:val="000000"/>
          <w:shd w:val="clear" w:color="auto" w:fill="FFFFFF"/>
        </w:rPr>
      </w:pPr>
      <w:r w:rsidRPr="00BF0C05">
        <w:rPr>
          <w:color w:val="000000"/>
          <w:shd w:val="clear" w:color="auto" w:fill="FFFFFF"/>
        </w:rPr>
        <w:t xml:space="preserve">Testele care sunt utilizate includ </w:t>
      </w:r>
      <w:r w:rsidR="00BF0C05" w:rsidRPr="00BF0C05">
        <w:rPr>
          <w:color w:val="000000"/>
          <w:shd w:val="clear" w:color="auto" w:fill="FFFFFF"/>
        </w:rPr>
        <w:t xml:space="preserve">dozarea </w:t>
      </w:r>
      <w:r w:rsidRPr="00BF0C05">
        <w:rPr>
          <w:color w:val="000000"/>
          <w:shd w:val="clear" w:color="auto" w:fill="FFFFFF"/>
        </w:rPr>
        <w:t>C4, care este de obicei testul de screening inițial</w:t>
      </w:r>
      <w:r w:rsidR="00946088">
        <w:rPr>
          <w:color w:val="000000"/>
          <w:shd w:val="clear" w:color="auto" w:fill="FFFFFF"/>
        </w:rPr>
        <w:t xml:space="preserve"> însă poate fi relevant doar în episoadele acute</w:t>
      </w:r>
      <w:r w:rsidRPr="00BF0C05">
        <w:rPr>
          <w:color w:val="000000"/>
          <w:shd w:val="clear" w:color="auto" w:fill="FFFFFF"/>
        </w:rPr>
        <w:t>. </w:t>
      </w:r>
      <w:r w:rsidR="00EF71B5" w:rsidRPr="00BF0C05">
        <w:rPr>
          <w:rFonts w:cs="Arial"/>
          <w:color w:val="000000"/>
          <w:shd w:val="clear" w:color="auto" w:fill="FFFFFF"/>
        </w:rPr>
        <w:t>Niv</w:t>
      </w:r>
      <w:r w:rsidR="00BF0C05" w:rsidRPr="00BF0C05">
        <w:rPr>
          <w:rFonts w:cs="Arial"/>
          <w:color w:val="000000"/>
          <w:shd w:val="clear" w:color="auto" w:fill="FFFFFF"/>
        </w:rPr>
        <w:t>elul de histamină nu se modifică</w:t>
      </w:r>
      <w:r w:rsidR="00EF71B5" w:rsidRPr="00BF0C05">
        <w:rPr>
          <w:rFonts w:cs="Arial"/>
          <w:color w:val="000000"/>
          <w:shd w:val="clear" w:color="auto" w:fill="FFFFFF"/>
        </w:rPr>
        <w:t xml:space="preserve"> </w:t>
      </w:r>
      <w:r w:rsidR="00BF0C05" w:rsidRPr="00BF0C05">
        <w:rPr>
          <w:rFonts w:cs="Arial"/>
          <w:color w:val="000000"/>
          <w:shd w:val="clear" w:color="auto" w:fill="FFFFFF"/>
        </w:rPr>
        <w:t>î</w:t>
      </w:r>
      <w:r w:rsidR="00EF71B5" w:rsidRPr="00BF0C05">
        <w:rPr>
          <w:rFonts w:cs="Arial"/>
          <w:color w:val="000000"/>
          <w:shd w:val="clear" w:color="auto" w:fill="FFFFFF"/>
        </w:rPr>
        <w:t>n cadrul acestui angioedem, spre deosebire de angioedemul clasic, alergic.</w:t>
      </w:r>
    </w:p>
    <w:p w14:paraId="7D8B4C05" w14:textId="3BE9E95B" w:rsidR="00FE3D12" w:rsidRDefault="006A12B7" w:rsidP="00471AF1">
      <w:pPr>
        <w:jc w:val="both"/>
        <w:rPr>
          <w:color w:val="000000"/>
          <w:shd w:val="clear" w:color="auto" w:fill="FFFFFF"/>
        </w:rPr>
      </w:pPr>
      <w:r>
        <w:rPr>
          <w:color w:val="000000"/>
          <w:shd w:val="clear" w:color="auto" w:fill="FFFFFF"/>
        </w:rPr>
        <w:t xml:space="preserve">Testele de confirmare includ </w:t>
      </w:r>
      <w:r w:rsidR="00FE3D12">
        <w:rPr>
          <w:color w:val="000000"/>
          <w:shd w:val="clear" w:color="auto" w:fill="FFFFFF"/>
        </w:rPr>
        <w:t>dozarea cantitativă a proteinei</w:t>
      </w:r>
      <w:r>
        <w:rPr>
          <w:color w:val="000000"/>
          <w:shd w:val="clear" w:color="auto" w:fill="FFFFFF"/>
        </w:rPr>
        <w:t xml:space="preserve"> C1-</w:t>
      </w:r>
      <w:r w:rsidR="00FE3D12">
        <w:rPr>
          <w:color w:val="000000"/>
          <w:shd w:val="clear" w:color="auto" w:fill="FFFFFF"/>
        </w:rPr>
        <w:t>INH</w:t>
      </w:r>
      <w:r>
        <w:rPr>
          <w:color w:val="000000"/>
          <w:shd w:val="clear" w:color="auto" w:fill="FFFFFF"/>
        </w:rPr>
        <w:t xml:space="preserve"> și</w:t>
      </w:r>
      <w:r w:rsidR="00FE3D12">
        <w:rPr>
          <w:color w:val="000000"/>
          <w:shd w:val="clear" w:color="auto" w:fill="FFFFFF"/>
        </w:rPr>
        <w:t xml:space="preserve"> C1-INH funcțional</w:t>
      </w:r>
      <w:r>
        <w:rPr>
          <w:color w:val="000000"/>
          <w:shd w:val="clear" w:color="auto" w:fill="FFFFFF"/>
        </w:rPr>
        <w:t xml:space="preserve">, care sunt ambele scăzute în </w:t>
      </w:r>
      <w:r w:rsidR="00A361E4">
        <w:rPr>
          <w:color w:val="000000"/>
          <w:shd w:val="clear" w:color="auto" w:fill="FFFFFF"/>
        </w:rPr>
        <w:t>AEE</w:t>
      </w:r>
      <w:r>
        <w:rPr>
          <w:color w:val="000000"/>
          <w:shd w:val="clear" w:color="auto" w:fill="FFFFFF"/>
        </w:rPr>
        <w:t xml:space="preserve"> de tip 1.</w:t>
      </w:r>
      <w:r w:rsidR="00FE3D12">
        <w:rPr>
          <w:color w:val="000000"/>
          <w:shd w:val="clear" w:color="auto" w:fill="FFFFFF"/>
        </w:rPr>
        <w:t xml:space="preserve"> În</w:t>
      </w:r>
      <w:r>
        <w:rPr>
          <w:color w:val="000000"/>
          <w:shd w:val="clear" w:color="auto" w:fill="FFFFFF"/>
        </w:rPr>
        <w:t> </w:t>
      </w:r>
      <w:r w:rsidR="00A361E4">
        <w:rPr>
          <w:color w:val="000000"/>
          <w:shd w:val="clear" w:color="auto" w:fill="FFFFFF"/>
        </w:rPr>
        <w:t>AEE</w:t>
      </w:r>
      <w:r>
        <w:rPr>
          <w:color w:val="000000"/>
          <w:shd w:val="clear" w:color="auto" w:fill="FFFFFF"/>
        </w:rPr>
        <w:t xml:space="preserve"> de tip 2</w:t>
      </w:r>
      <w:r w:rsidR="00FE3D12">
        <w:rPr>
          <w:color w:val="000000"/>
          <w:shd w:val="clear" w:color="auto" w:fill="FFFFFF"/>
        </w:rPr>
        <w:t>, C1-INH</w:t>
      </w:r>
      <w:r>
        <w:rPr>
          <w:color w:val="000000"/>
          <w:shd w:val="clear" w:color="auto" w:fill="FFFFFF"/>
        </w:rPr>
        <w:t xml:space="preserve"> are o funcție scăzută, dar o cantitate normală sau excesivă</w:t>
      </w:r>
      <w:r w:rsidR="00EF71B5">
        <w:rPr>
          <w:color w:val="000000"/>
          <w:shd w:val="clear" w:color="auto" w:fill="FFFFFF"/>
        </w:rPr>
        <w:t>.</w:t>
      </w:r>
      <w:r>
        <w:rPr>
          <w:color w:val="000000"/>
          <w:shd w:val="clear" w:color="auto" w:fill="FFFFFF"/>
        </w:rPr>
        <w:t> </w:t>
      </w:r>
      <w:r w:rsidR="00A361E4">
        <w:rPr>
          <w:color w:val="000000"/>
          <w:shd w:val="clear" w:color="auto" w:fill="FFFFFF"/>
        </w:rPr>
        <w:t>AEE</w:t>
      </w:r>
      <w:r>
        <w:rPr>
          <w:color w:val="000000"/>
          <w:shd w:val="clear" w:color="auto" w:fill="FFFFFF"/>
        </w:rPr>
        <w:t xml:space="preserve"> de tip 3 are </w:t>
      </w:r>
      <w:r w:rsidR="00EF71B5">
        <w:rPr>
          <w:color w:val="000000"/>
          <w:shd w:val="clear" w:color="auto" w:fill="FFFFFF"/>
        </w:rPr>
        <w:t xml:space="preserve">rezultate normale la toate </w:t>
      </w:r>
      <w:r>
        <w:rPr>
          <w:color w:val="000000"/>
          <w:shd w:val="clear" w:color="auto" w:fill="FFFFFF"/>
        </w:rPr>
        <w:t>testele și în acest moment pare să fie compus din pacienți cu un câștig al funcției factorului 12 al căii de coagulare și alte grupuri de pacienți prost definite care par să aibă angioedem de la bradikinină, dar cu mecanism necunoscut. </w:t>
      </w:r>
    </w:p>
    <w:p w14:paraId="3C3FABC0" w14:textId="763C36B4" w:rsidR="00800598" w:rsidRDefault="006A12B7" w:rsidP="00471AF1">
      <w:pPr>
        <w:jc w:val="both"/>
        <w:rPr>
          <w:color w:val="000000"/>
          <w:shd w:val="clear" w:color="auto" w:fill="FFFFFF"/>
        </w:rPr>
      </w:pPr>
      <w:r>
        <w:rPr>
          <w:color w:val="000000"/>
          <w:shd w:val="clear" w:color="auto" w:fill="FFFFFF"/>
        </w:rPr>
        <w:t>C1q este d</w:t>
      </w:r>
      <w:r w:rsidR="00FE3D12">
        <w:rPr>
          <w:color w:val="000000"/>
          <w:shd w:val="clear" w:color="auto" w:fill="FFFFFF"/>
        </w:rPr>
        <w:t>e obicei rezervat celor cu boală</w:t>
      </w:r>
      <w:r>
        <w:rPr>
          <w:color w:val="000000"/>
          <w:shd w:val="clear" w:color="auto" w:fill="FFFFFF"/>
        </w:rPr>
        <w:t xml:space="preserve"> cu debut tardiv pentru a exclude angioedemul dobândit, deoarece este scăzut în majoritatea cazurilor de angioedem dobândit cu inhibitor C1 deficitar, dar normal în </w:t>
      </w:r>
      <w:r w:rsidR="00A361E4">
        <w:rPr>
          <w:color w:val="000000"/>
          <w:shd w:val="clear" w:color="auto" w:fill="FFFFFF"/>
        </w:rPr>
        <w:t>AEE</w:t>
      </w:r>
      <w:r>
        <w:rPr>
          <w:color w:val="000000"/>
          <w:shd w:val="clear" w:color="auto" w:fill="FFFFFF"/>
        </w:rPr>
        <w:t xml:space="preserve">. În toate bolile descrise mai sus, cauza </w:t>
      </w:r>
      <w:r w:rsidR="00FE3D12">
        <w:rPr>
          <w:color w:val="000000"/>
          <w:shd w:val="clear" w:color="auto" w:fill="FFFFFF"/>
        </w:rPr>
        <w:t>edemului</w:t>
      </w:r>
      <w:r>
        <w:rPr>
          <w:color w:val="000000"/>
          <w:shd w:val="clear" w:color="auto" w:fill="FFFFFF"/>
        </w:rPr>
        <w:t xml:space="preserve"> este secundară supraproducției de bradikinină. Inhibitorii enzimei de conversie a angiotensinei (ACE-I) provoacă, de asemenea, angioedem, dar în acest caz, secundar lipsei de catabolism al bradikininei.</w:t>
      </w:r>
    </w:p>
    <w:p w14:paraId="619431B9" w14:textId="70D72575" w:rsidR="00EF71B5" w:rsidRDefault="00EF71B5" w:rsidP="00EF71B5">
      <w:pPr>
        <w:jc w:val="both"/>
      </w:pPr>
      <w:r w:rsidRPr="00EF71B5">
        <w:t>Acei pacienți care nu au un diagnostic au un risc crescut de morbidități și mortalitate în comparație cu cei care au fost diagnosticați, mai ales dacă atacurile afectează căile respiratorii Progresele în procedurile de testare și recunoașterea bolii nu</w:t>
      </w:r>
      <w:r>
        <w:t xml:space="preserve"> au îmbunătățit diagnosticul </w:t>
      </w:r>
      <w:r w:rsidR="00A361E4">
        <w:t>AEE</w:t>
      </w:r>
      <w:r w:rsidRPr="00EF71B5">
        <w:t>, reprezentând încă o provocare pentru profesioniști. În prezent, testarea genetică nu face parte din di</w:t>
      </w:r>
      <w:r>
        <w:t xml:space="preserve">agnosticul clinic al rutinei </w:t>
      </w:r>
      <w:r w:rsidR="00A361E4">
        <w:t>AEE</w:t>
      </w:r>
      <w:r w:rsidRPr="00EF71B5">
        <w:t xml:space="preserve"> în multe sisteme de îngrijire a sănătății, în ciuda ghidurilo</w:t>
      </w:r>
      <w:r>
        <w:t xml:space="preserve">r actualizate de gestionare a </w:t>
      </w:r>
      <w:r w:rsidR="00A361E4">
        <w:t>AEE</w:t>
      </w:r>
      <w:r w:rsidRPr="00EF71B5">
        <w:t xml:space="preserve"> recomandă un diagnostic genetic pentru a crește randamentul diagnosticului și pentru a reduce odiseea diagnosticului. În plus, natura debilitantă a atacurilor de </w:t>
      </w:r>
      <w:r w:rsidR="00A361E4">
        <w:t>AEE</w:t>
      </w:r>
      <w:r w:rsidRPr="00EF71B5">
        <w:t>E face ca diagnosticarea precoce și precisă să fie esențială pentru a stabili rapid acțiunile și tratamentele pentru pro</w:t>
      </w:r>
      <w:r>
        <w:t xml:space="preserve">filaxia pe termen scurt și lung. </w:t>
      </w:r>
    </w:p>
    <w:p w14:paraId="06694BCD" w14:textId="77777777" w:rsidR="006A12B7" w:rsidRPr="00800598" w:rsidRDefault="006A12B7" w:rsidP="00471AF1">
      <w:pPr>
        <w:jc w:val="both"/>
      </w:pPr>
    </w:p>
    <w:p w14:paraId="6AE4D257" w14:textId="77777777" w:rsidR="00800598" w:rsidRPr="00800598" w:rsidRDefault="00800598" w:rsidP="00471AF1">
      <w:pPr>
        <w:jc w:val="both"/>
      </w:pPr>
      <w:r w:rsidRPr="00800598">
        <w:rPr>
          <w:b/>
          <w:bCs/>
          <w:i/>
          <w:iCs/>
        </w:rPr>
        <w:t>Sfat genetic</w:t>
      </w:r>
    </w:p>
    <w:p w14:paraId="71ACAF27" w14:textId="31239915" w:rsidR="00800598" w:rsidRDefault="00AD0FD9" w:rsidP="00471AF1">
      <w:pPr>
        <w:jc w:val="both"/>
      </w:pPr>
      <w:r w:rsidRPr="00537518">
        <w:rPr>
          <w:rFonts w:cs="Arial"/>
        </w:rPr>
        <w:t>Odată ce varianta patogenă a fost identificată la un membru al familiei afectat, sunt posibile testarea genetică moleculară pentru rudele expuse riscului</w:t>
      </w:r>
      <w:r>
        <w:rPr>
          <w:rFonts w:cs="Arial"/>
        </w:rPr>
        <w:t>.</w:t>
      </w:r>
      <w:r w:rsidRPr="00AA6DBF">
        <w:t xml:space="preserve"> </w:t>
      </w:r>
      <w:r w:rsidR="00AA6DBF" w:rsidRPr="00AA6DBF">
        <w:t xml:space="preserve">O persoană afectată de </w:t>
      </w:r>
      <w:r w:rsidR="00AA6DBF">
        <w:t xml:space="preserve">AEE </w:t>
      </w:r>
      <w:r w:rsidR="00AA6DBF" w:rsidRPr="00AA6DBF">
        <w:t xml:space="preserve">are 50% șanse de a transmite gena modificată fiecărui </w:t>
      </w:r>
      <w:r w:rsidR="00AA6DBF">
        <w:t>descendent, independent de sex. Frații și surorile unei persoane afectate au și ei/ele risc de 50% să fie afectați/afectate.</w:t>
      </w:r>
    </w:p>
    <w:p w14:paraId="6A9EF010" w14:textId="77777777" w:rsidR="00B05EAD" w:rsidRPr="00800598" w:rsidRDefault="00B05EAD" w:rsidP="00471AF1">
      <w:pPr>
        <w:jc w:val="both"/>
      </w:pPr>
    </w:p>
    <w:p w14:paraId="5AC9C808" w14:textId="77777777" w:rsidR="00800598" w:rsidRPr="00800598" w:rsidRDefault="00800598" w:rsidP="00471AF1">
      <w:pPr>
        <w:jc w:val="both"/>
      </w:pPr>
      <w:r w:rsidRPr="00800598">
        <w:rPr>
          <w:b/>
          <w:bCs/>
          <w:i/>
          <w:iCs/>
        </w:rPr>
        <w:t>Diagnostic prenatal</w:t>
      </w:r>
    </w:p>
    <w:p w14:paraId="7D250C1F" w14:textId="5BEF91F4" w:rsidR="00A70F4A" w:rsidRDefault="00A70F4A" w:rsidP="00A70F4A">
      <w:pPr>
        <w:jc w:val="both"/>
        <w:rPr>
          <w:rFonts w:cs="Arial"/>
        </w:rPr>
      </w:pPr>
      <w:r w:rsidRPr="00E83B8E">
        <w:rPr>
          <w:rFonts w:cs="Arial"/>
        </w:rPr>
        <w:t>Diagnosticul prenatal este indicat în familiile cu r</w:t>
      </w:r>
      <w:r>
        <w:rPr>
          <w:rFonts w:cs="Arial"/>
        </w:rPr>
        <w:t xml:space="preserve">isc, </w:t>
      </w:r>
      <w:r w:rsidRPr="00E83B8E">
        <w:rPr>
          <w:rFonts w:cs="Arial"/>
        </w:rPr>
        <w:t>în</w:t>
      </w:r>
      <w:r>
        <w:rPr>
          <w:rFonts w:cs="Arial"/>
        </w:rPr>
        <w:t xml:space="preserve"> care există un bolnav cu angioedem ereditar</w:t>
      </w:r>
      <w:r w:rsidRPr="00E83B8E">
        <w:rPr>
          <w:rFonts w:cs="Arial"/>
        </w:rPr>
        <w:t xml:space="preserve">. </w:t>
      </w:r>
      <w:r w:rsidRPr="00537518">
        <w:rPr>
          <w:rFonts w:cs="Arial"/>
        </w:rPr>
        <w:t xml:space="preserve">Odată ce varianta patogenă a fost identificată la un membru al familiei afectat, sunt posibile testarea </w:t>
      </w:r>
      <w:r w:rsidR="00AD0FD9">
        <w:rPr>
          <w:rFonts w:cs="Arial"/>
        </w:rPr>
        <w:t xml:space="preserve">genetică </w:t>
      </w:r>
      <w:r w:rsidRPr="00537518">
        <w:rPr>
          <w:rFonts w:cs="Arial"/>
        </w:rPr>
        <w:t>prenatală pentru o sarcină cu risc crescut și testarea genetică preimplantare</w:t>
      </w:r>
      <w:r w:rsidR="00AD0FD9">
        <w:rPr>
          <w:rFonts w:cs="Arial"/>
        </w:rPr>
        <w:t>, însă acestea pot fi etic controversate având în vedere variabilitatea fenotipică crescută.</w:t>
      </w:r>
    </w:p>
    <w:p w14:paraId="0A0BC9CE" w14:textId="1053E280" w:rsidR="00800598" w:rsidRPr="00800598" w:rsidRDefault="00800598" w:rsidP="00471AF1">
      <w:pPr>
        <w:jc w:val="both"/>
      </w:pPr>
    </w:p>
    <w:p w14:paraId="014990B9" w14:textId="77777777" w:rsidR="00800598" w:rsidRPr="00800598" w:rsidRDefault="00800598" w:rsidP="00471AF1">
      <w:pPr>
        <w:jc w:val="both"/>
      </w:pPr>
      <w:r w:rsidRPr="00800598">
        <w:rPr>
          <w:b/>
          <w:bCs/>
          <w:i/>
          <w:iCs/>
        </w:rPr>
        <w:t>Evoluţie şi prognostic</w:t>
      </w:r>
    </w:p>
    <w:p w14:paraId="082B76F6" w14:textId="3252DC54" w:rsidR="00800598" w:rsidRDefault="00EF71B5" w:rsidP="000E67A7">
      <w:pPr>
        <w:jc w:val="both"/>
      </w:pPr>
      <w:r>
        <w:t xml:space="preserve">Atacurile </w:t>
      </w:r>
      <w:r w:rsidR="00A361E4">
        <w:t>AEE</w:t>
      </w:r>
      <w:r w:rsidRPr="00EF71B5">
        <w:t xml:space="preserve"> se pot transforma într-un episod care pune viața în pericol dacă edemul se dezvoltă în calea laringiană, ceea ce duce la obstrucția </w:t>
      </w:r>
      <w:r>
        <w:t>căilor respiratorii superioare.</w:t>
      </w:r>
      <w:r w:rsidR="000E67A7">
        <w:t xml:space="preserve"> Acestea </w:t>
      </w:r>
      <w:r w:rsidRPr="00EF71B5">
        <w:t>sunt imprevizibile și se dezvoltă adesea ca răspuns la factori declanșatori precum stresul mental</w:t>
      </w:r>
      <w:r>
        <w:t xml:space="preserve">, </w:t>
      </w:r>
      <w:r w:rsidRPr="00EF71B5">
        <w:t>utilizarea h</w:t>
      </w:r>
      <w:r>
        <w:t>ormonilor contracepționali, infecțiile</w:t>
      </w:r>
      <w:r w:rsidRPr="00EF71B5">
        <w:t>, rănile sau intervențiile chirurgicale și schimbările meteorologice</w:t>
      </w:r>
      <w:r>
        <w:t>.</w:t>
      </w:r>
      <w:r w:rsidRPr="00EF71B5">
        <w:t xml:space="preserve"> </w:t>
      </w:r>
    </w:p>
    <w:p w14:paraId="6FFBD7A7" w14:textId="74CF5C91" w:rsidR="00EF71B5" w:rsidRDefault="00EF71B5" w:rsidP="00471AF1">
      <w:pPr>
        <w:jc w:val="both"/>
      </w:pPr>
      <w:r w:rsidRPr="00EF71B5">
        <w:t>Rata de mortalitate este, di</w:t>
      </w:r>
      <w:r>
        <w:t>n pacate, inacceptabil de mare în rândul acestor pacienți. Un studiu î</w:t>
      </w:r>
      <w:r w:rsidRPr="00EF71B5">
        <w:t xml:space="preserve">n 2012 a identificat </w:t>
      </w:r>
      <w:r>
        <w:t>214 de decese din 728 de pacienț</w:t>
      </w:r>
      <w:r w:rsidRPr="00EF71B5">
        <w:t xml:space="preserve">i cu </w:t>
      </w:r>
      <w:r w:rsidR="00A361E4">
        <w:t>AEE</w:t>
      </w:r>
      <w:r>
        <w:t>. Acest lucru se datorează î</w:t>
      </w:r>
      <w:r w:rsidRPr="00EF71B5">
        <w:t>n principal diagnosticului dificil, pus ta</w:t>
      </w:r>
      <w:r w:rsidR="00D769F1">
        <w:t xml:space="preserve">rdiv. </w:t>
      </w:r>
      <w:r w:rsidRPr="00EF71B5">
        <w:t>De altfel acela</w:t>
      </w:r>
      <w:r w:rsidR="00D769F1">
        <w:t>și studiu a enunț</w:t>
      </w:r>
      <w:r w:rsidRPr="00EF71B5">
        <w:t>at c</w:t>
      </w:r>
      <w:r w:rsidR="00D769F1">
        <w:t>ă</w:t>
      </w:r>
      <w:r w:rsidRPr="00EF71B5">
        <w:t xml:space="preserve"> din aceste 214 decese, 63 de persoane nu</w:t>
      </w:r>
      <w:r w:rsidRPr="00EF71B5">
        <w:rPr>
          <w:i/>
        </w:rPr>
        <w:t xml:space="preserve"> </w:t>
      </w:r>
      <w:r w:rsidR="00D769F1">
        <w:t>ș</w:t>
      </w:r>
      <w:r w:rsidRPr="00EF71B5">
        <w:t>tiau diagnosticul.</w:t>
      </w:r>
      <w:r w:rsidR="00D769F1">
        <w:t xml:space="preserve"> Printr-un diagnostic corect, cât mai precoce, ș</w:t>
      </w:r>
      <w:r w:rsidRPr="00EF71B5">
        <w:t xml:space="preserve">i urmarea tratamentului potrivit, mortalitatea se </w:t>
      </w:r>
      <w:r w:rsidR="00D769F1">
        <w:t>poate reduce considerabil, afecț</w:t>
      </w:r>
      <w:r w:rsidRPr="00EF71B5">
        <w:t>iu</w:t>
      </w:r>
      <w:r w:rsidR="00D769F1">
        <w:t>nea devenind una cu care pacienții pot trăi mai liniștiți.</w:t>
      </w:r>
    </w:p>
    <w:p w14:paraId="32D36F77" w14:textId="77777777" w:rsidR="00EF71B5" w:rsidRPr="00800598" w:rsidRDefault="00EF71B5" w:rsidP="00471AF1">
      <w:pPr>
        <w:jc w:val="both"/>
      </w:pPr>
    </w:p>
    <w:p w14:paraId="2376E75B" w14:textId="77777777" w:rsidR="00800598" w:rsidRPr="00800598" w:rsidRDefault="00800598" w:rsidP="00471AF1">
      <w:pPr>
        <w:jc w:val="both"/>
      </w:pPr>
      <w:r w:rsidRPr="00800598">
        <w:rPr>
          <w:b/>
          <w:bCs/>
          <w:i/>
          <w:iCs/>
        </w:rPr>
        <w:t>Posibilităţi de tratament, îngrijire şi urmărire</w:t>
      </w:r>
    </w:p>
    <w:p w14:paraId="22E93D6E" w14:textId="45F5EEE3" w:rsidR="00AF5387" w:rsidRDefault="00AF5387" w:rsidP="00AF5387">
      <w:pPr>
        <w:jc w:val="both"/>
      </w:pPr>
      <w:r>
        <w:t xml:space="preserve">Angioedemul ereditar este o afecțiune complexă gestionată cel mai bine de </w:t>
      </w:r>
      <w:r w:rsidR="00A309FC">
        <w:t xml:space="preserve">o echipă interdisciplinară compusă din </w:t>
      </w:r>
      <w:r>
        <w:t xml:space="preserve">alergolog, imunolog, pneumolog și internist. Odată tratați, acești pacienți pot fi urmăriți de furnizorul de asistență medicală primară și de </w:t>
      </w:r>
      <w:r w:rsidR="00A309FC">
        <w:t xml:space="preserve">asistenta medicală. </w:t>
      </w:r>
    </w:p>
    <w:p w14:paraId="2C4960F3" w14:textId="002F83F5" w:rsidR="00C111E7" w:rsidRDefault="00C111E7" w:rsidP="00C111E7">
      <w:pPr>
        <w:jc w:val="both"/>
      </w:pPr>
      <w:r w:rsidRPr="00C111E7">
        <w:lastRenderedPageBreak/>
        <w:t>Pe lângă medicamente, managementul include evitarea factorilor declanșatori, a estrogenilor și a inhibitorilor ECA și un plan de management. Planul de management ar trebui să includă profilaxie pe termen lung, dacă este indicată, terapia de utilizat înainte de procedurile stomatologice și chirurgicale, modul de tratare a atacurilor și un plan de rezervă pentru tratamentul atacurilor. Majoritatea pacienților ar trebui să fie învățați despre auto-tratament pentru a</w:t>
      </w:r>
      <w:r w:rsidR="004C5A5D">
        <w:t>-și</w:t>
      </w:r>
      <w:r w:rsidRPr="00C111E7">
        <w:t xml:space="preserve"> spori libertatea și calitatea vieții. Evaluarea </w:t>
      </w:r>
      <w:r w:rsidR="004C5A5D">
        <w:t>periodică</w:t>
      </w:r>
      <w:r w:rsidRPr="00C111E7">
        <w:t xml:space="preserve"> este esențială pentru a se asigura că morbiditatea este minimă și terapia este eficientă.</w:t>
      </w:r>
    </w:p>
    <w:p w14:paraId="71D131B2" w14:textId="68DBC9CC" w:rsidR="00800598" w:rsidRDefault="00AF5387" w:rsidP="00AF5387">
      <w:pPr>
        <w:jc w:val="both"/>
      </w:pPr>
      <w:r>
        <w:t xml:space="preserve">Tratamentul </w:t>
      </w:r>
      <w:r w:rsidR="002856D4">
        <w:t xml:space="preserve">atacurilor acute </w:t>
      </w:r>
      <w:r>
        <w:t xml:space="preserve">este </w:t>
      </w:r>
      <w:r w:rsidR="002856D4">
        <w:t>diferit</w:t>
      </w:r>
      <w:r>
        <w:t xml:space="preserve"> </w:t>
      </w:r>
      <w:r w:rsidR="002856D4">
        <w:t>față de</w:t>
      </w:r>
      <w:r>
        <w:t xml:space="preserve"> angioedem</w:t>
      </w:r>
      <w:r w:rsidR="002856D4">
        <w:t>ul</w:t>
      </w:r>
      <w:r>
        <w:t xml:space="preserve"> </w:t>
      </w:r>
      <w:r w:rsidR="002856D4">
        <w:t xml:space="preserve">alergic </w:t>
      </w:r>
      <w:r>
        <w:t xml:space="preserve">asociat cu histamina, deoarece antihistaminice, corticosteroizii și epinefrina </w:t>
      </w:r>
      <w:r w:rsidR="002856D4">
        <w:t xml:space="preserve">NU </w:t>
      </w:r>
      <w:r>
        <w:t xml:space="preserve">au un efect asupra </w:t>
      </w:r>
      <w:r w:rsidR="00A309FC">
        <w:t>angioedemului</w:t>
      </w:r>
      <w:r>
        <w:t>. În schimb, sunt utilizate medicamente care fie inhibă producția de bradikinină, fie concurează cu receptorul.</w:t>
      </w:r>
    </w:p>
    <w:p w14:paraId="07F83780" w14:textId="73C87FC1" w:rsidR="002856D4" w:rsidRDefault="002856D4" w:rsidP="00AF5387">
      <w:pPr>
        <w:jc w:val="both"/>
      </w:pPr>
      <w:r w:rsidRPr="002856D4">
        <w:t>Tratamentul atacurilor acute are ca și scop oprirea dezvoltării edem</w:t>
      </w:r>
      <w:r>
        <w:t xml:space="preserve">ului și ameliorarea simptomelor: </w:t>
      </w:r>
    </w:p>
    <w:p w14:paraId="73E60A4F" w14:textId="723DFCC2" w:rsidR="002856D4" w:rsidRPr="002856D4" w:rsidRDefault="002438AD" w:rsidP="002856D4">
      <w:pPr>
        <w:pStyle w:val="ListParagraph"/>
        <w:numPr>
          <w:ilvl w:val="0"/>
          <w:numId w:val="1"/>
        </w:numPr>
        <w:jc w:val="both"/>
        <w:rPr>
          <w:lang w:val="fr-FR"/>
        </w:rPr>
      </w:pPr>
      <w:r>
        <w:t>Concentrat de C1-INH uman (Berinert) sau C1-</w:t>
      </w:r>
      <w:r w:rsidR="002856D4" w:rsidRPr="002856D4">
        <w:t>INH recombinant (Runconest), car</w:t>
      </w:r>
      <w:r>
        <w:t>e acționează prin înlocuirea C1-</w:t>
      </w:r>
      <w:r w:rsidR="002856D4" w:rsidRPr="002856D4">
        <w:t xml:space="preserve">INH în plasmă și exercită efectele inhibitorii la nivelul căilor generatoare de angioedem. </w:t>
      </w:r>
      <w:r w:rsidR="002856D4" w:rsidRPr="002856D4">
        <w:rPr>
          <w:lang w:val="fr-FR"/>
        </w:rPr>
        <w:t xml:space="preserve">La </w:t>
      </w:r>
      <w:proofErr w:type="spellStart"/>
      <w:r w:rsidR="002856D4" w:rsidRPr="002856D4">
        <w:rPr>
          <w:lang w:val="fr-FR"/>
        </w:rPr>
        <w:t>majoritatea</w:t>
      </w:r>
      <w:proofErr w:type="spellEnd"/>
      <w:r w:rsidR="002856D4" w:rsidRPr="002856D4">
        <w:rPr>
          <w:lang w:val="fr-FR"/>
        </w:rPr>
        <w:t xml:space="preserve"> </w:t>
      </w:r>
      <w:proofErr w:type="spellStart"/>
      <w:r w:rsidR="002856D4" w:rsidRPr="002856D4">
        <w:rPr>
          <w:lang w:val="fr-FR"/>
        </w:rPr>
        <w:t>pacienților</w:t>
      </w:r>
      <w:proofErr w:type="spellEnd"/>
      <w:r w:rsidR="002856D4" w:rsidRPr="002856D4">
        <w:rPr>
          <w:lang w:val="fr-FR"/>
        </w:rPr>
        <w:t xml:space="preserve"> s-a </w:t>
      </w:r>
      <w:proofErr w:type="spellStart"/>
      <w:r w:rsidR="002856D4" w:rsidRPr="002856D4">
        <w:rPr>
          <w:lang w:val="fr-FR"/>
        </w:rPr>
        <w:t>observat</w:t>
      </w:r>
      <w:proofErr w:type="spellEnd"/>
      <w:r w:rsidR="002856D4" w:rsidRPr="002856D4">
        <w:rPr>
          <w:lang w:val="fr-FR"/>
        </w:rPr>
        <w:t xml:space="preserve"> o </w:t>
      </w:r>
      <w:proofErr w:type="spellStart"/>
      <w:r w:rsidR="002856D4" w:rsidRPr="002856D4">
        <w:rPr>
          <w:lang w:val="fr-FR"/>
        </w:rPr>
        <w:t>ameliorare</w:t>
      </w:r>
      <w:proofErr w:type="spellEnd"/>
      <w:r w:rsidR="002856D4" w:rsidRPr="002856D4">
        <w:rPr>
          <w:lang w:val="fr-FR"/>
        </w:rPr>
        <w:t xml:space="preserve"> a </w:t>
      </w:r>
      <w:proofErr w:type="spellStart"/>
      <w:r w:rsidR="002856D4" w:rsidRPr="002856D4">
        <w:rPr>
          <w:lang w:val="fr-FR"/>
        </w:rPr>
        <w:t>simptomelor</w:t>
      </w:r>
      <w:proofErr w:type="spellEnd"/>
      <w:r w:rsidR="002856D4" w:rsidRPr="002856D4">
        <w:rPr>
          <w:lang w:val="fr-FR"/>
        </w:rPr>
        <w:t xml:space="preserve"> </w:t>
      </w:r>
      <w:proofErr w:type="spellStart"/>
      <w:r w:rsidR="002856D4" w:rsidRPr="002856D4">
        <w:rPr>
          <w:lang w:val="fr-FR"/>
        </w:rPr>
        <w:t>în</w:t>
      </w:r>
      <w:proofErr w:type="spellEnd"/>
      <w:r w:rsidR="002856D4" w:rsidRPr="002856D4">
        <w:rPr>
          <w:lang w:val="fr-FR"/>
        </w:rPr>
        <w:t xml:space="preserve"> </w:t>
      </w:r>
      <w:proofErr w:type="spellStart"/>
      <w:r w:rsidR="002856D4" w:rsidRPr="002856D4">
        <w:rPr>
          <w:lang w:val="fr-FR"/>
        </w:rPr>
        <w:t>aproximativ</w:t>
      </w:r>
      <w:proofErr w:type="spellEnd"/>
      <w:r w:rsidR="002856D4" w:rsidRPr="002856D4">
        <w:rPr>
          <w:lang w:val="fr-FR"/>
        </w:rPr>
        <w:t xml:space="preserve"> 30-60 de minute de la </w:t>
      </w:r>
      <w:proofErr w:type="spellStart"/>
      <w:r w:rsidR="002856D4" w:rsidRPr="002856D4">
        <w:rPr>
          <w:lang w:val="fr-FR"/>
        </w:rPr>
        <w:t>administrare</w:t>
      </w:r>
      <w:proofErr w:type="spellEnd"/>
      <w:r w:rsidR="002856D4" w:rsidRPr="002856D4">
        <w:rPr>
          <w:lang w:val="fr-FR"/>
        </w:rPr>
        <w:t>.</w:t>
      </w:r>
    </w:p>
    <w:p w14:paraId="6AA62DF1" w14:textId="77777777" w:rsidR="002856D4" w:rsidRPr="002856D4" w:rsidRDefault="002856D4" w:rsidP="002856D4">
      <w:pPr>
        <w:pStyle w:val="ListParagraph"/>
        <w:numPr>
          <w:ilvl w:val="0"/>
          <w:numId w:val="1"/>
        </w:numPr>
        <w:jc w:val="both"/>
        <w:rPr>
          <w:lang w:val="fr-FR"/>
        </w:rPr>
      </w:pPr>
      <w:proofErr w:type="spellStart"/>
      <w:r w:rsidRPr="002856D4">
        <w:rPr>
          <w:lang w:val="fr-FR"/>
        </w:rPr>
        <w:t>Inhibitori</w:t>
      </w:r>
      <w:proofErr w:type="spellEnd"/>
      <w:r w:rsidRPr="002856D4">
        <w:rPr>
          <w:lang w:val="fr-FR"/>
        </w:rPr>
        <w:t xml:space="preserve"> de </w:t>
      </w:r>
      <w:proofErr w:type="spellStart"/>
      <w:r w:rsidRPr="002856D4">
        <w:rPr>
          <w:lang w:val="fr-FR"/>
        </w:rPr>
        <w:t>kallikreina</w:t>
      </w:r>
      <w:proofErr w:type="spellEnd"/>
      <w:r w:rsidRPr="002856D4">
        <w:rPr>
          <w:lang w:val="fr-FR"/>
        </w:rPr>
        <w:t xml:space="preserve"> (</w:t>
      </w:r>
      <w:proofErr w:type="spellStart"/>
      <w:r w:rsidRPr="002856D4">
        <w:rPr>
          <w:lang w:val="fr-FR"/>
        </w:rPr>
        <w:t>Ecalantide</w:t>
      </w:r>
      <w:proofErr w:type="spellEnd"/>
      <w:r w:rsidRPr="002856D4">
        <w:rPr>
          <w:lang w:val="fr-FR"/>
        </w:rPr>
        <w:t>).</w:t>
      </w:r>
    </w:p>
    <w:p w14:paraId="6DD9FF48" w14:textId="018B8D05" w:rsidR="002856D4" w:rsidRPr="002438AD" w:rsidRDefault="002856D4" w:rsidP="002856D4">
      <w:pPr>
        <w:pStyle w:val="ListParagraph"/>
        <w:numPr>
          <w:ilvl w:val="0"/>
          <w:numId w:val="1"/>
        </w:numPr>
        <w:jc w:val="both"/>
        <w:rPr>
          <w:lang w:val="fr-FR"/>
        </w:rPr>
      </w:pPr>
      <w:proofErr w:type="spellStart"/>
      <w:r w:rsidRPr="002856D4">
        <w:rPr>
          <w:lang w:val="fr-FR"/>
        </w:rPr>
        <w:t>Blocanți</w:t>
      </w:r>
      <w:proofErr w:type="spellEnd"/>
      <w:r w:rsidRPr="002856D4">
        <w:rPr>
          <w:lang w:val="fr-FR"/>
        </w:rPr>
        <w:t xml:space="preserve"> ai </w:t>
      </w:r>
      <w:proofErr w:type="spellStart"/>
      <w:r w:rsidRPr="002856D4">
        <w:rPr>
          <w:lang w:val="fr-FR"/>
        </w:rPr>
        <w:t>receptoril</w:t>
      </w:r>
      <w:r w:rsidR="002438AD">
        <w:rPr>
          <w:lang w:val="fr-FR"/>
        </w:rPr>
        <w:t>or</w:t>
      </w:r>
      <w:proofErr w:type="spellEnd"/>
      <w:r w:rsidR="002438AD">
        <w:rPr>
          <w:lang w:val="fr-FR"/>
        </w:rPr>
        <w:t xml:space="preserve"> de </w:t>
      </w:r>
      <w:proofErr w:type="spellStart"/>
      <w:r w:rsidR="002438AD">
        <w:rPr>
          <w:lang w:val="fr-FR"/>
        </w:rPr>
        <w:t>bradikinină</w:t>
      </w:r>
      <w:proofErr w:type="spellEnd"/>
      <w:r w:rsidR="002438AD">
        <w:rPr>
          <w:lang w:val="fr-FR"/>
        </w:rPr>
        <w:t xml:space="preserve"> B2 (</w:t>
      </w:r>
      <w:proofErr w:type="spellStart"/>
      <w:r w:rsidR="002438AD">
        <w:rPr>
          <w:lang w:val="fr-FR"/>
        </w:rPr>
        <w:t>Fyrazir</w:t>
      </w:r>
      <w:proofErr w:type="spellEnd"/>
      <w:r w:rsidR="002438AD">
        <w:rPr>
          <w:lang w:val="fr-FR"/>
        </w:rPr>
        <w:t xml:space="preserve">)- </w:t>
      </w:r>
      <w:proofErr w:type="spellStart"/>
      <w:r w:rsidR="002438AD">
        <w:rPr>
          <w:lang w:val="fr-FR"/>
        </w:rPr>
        <w:t>b</w:t>
      </w:r>
      <w:r w:rsidRPr="002438AD">
        <w:rPr>
          <w:lang w:val="fr-FR"/>
        </w:rPr>
        <w:t>lochează</w:t>
      </w:r>
      <w:proofErr w:type="spellEnd"/>
      <w:r w:rsidRPr="002438AD">
        <w:rPr>
          <w:lang w:val="fr-FR"/>
        </w:rPr>
        <w:t xml:space="preserve"> </w:t>
      </w:r>
      <w:proofErr w:type="spellStart"/>
      <w:r w:rsidRPr="002438AD">
        <w:rPr>
          <w:lang w:val="fr-FR"/>
        </w:rPr>
        <w:t>receptorii</w:t>
      </w:r>
      <w:proofErr w:type="spellEnd"/>
      <w:r w:rsidRPr="002438AD">
        <w:rPr>
          <w:lang w:val="fr-FR"/>
        </w:rPr>
        <w:t xml:space="preserve"> de </w:t>
      </w:r>
      <w:proofErr w:type="spellStart"/>
      <w:r w:rsidRPr="002438AD">
        <w:rPr>
          <w:lang w:val="fr-FR"/>
        </w:rPr>
        <w:t>bradikinină</w:t>
      </w:r>
      <w:proofErr w:type="spellEnd"/>
      <w:r w:rsidRPr="002438AD">
        <w:rPr>
          <w:lang w:val="fr-FR"/>
        </w:rPr>
        <w:t xml:space="preserve"> </w:t>
      </w:r>
      <w:proofErr w:type="spellStart"/>
      <w:r w:rsidRPr="002438AD">
        <w:rPr>
          <w:lang w:val="fr-FR"/>
        </w:rPr>
        <w:t>favorizând</w:t>
      </w:r>
      <w:proofErr w:type="spellEnd"/>
      <w:r w:rsidRPr="002438AD">
        <w:rPr>
          <w:lang w:val="fr-FR"/>
        </w:rPr>
        <w:t xml:space="preserve"> </w:t>
      </w:r>
      <w:proofErr w:type="spellStart"/>
      <w:r w:rsidRPr="002438AD">
        <w:rPr>
          <w:lang w:val="fr-FR"/>
        </w:rPr>
        <w:t>remiterea</w:t>
      </w:r>
      <w:proofErr w:type="spellEnd"/>
      <w:r w:rsidRPr="002438AD">
        <w:rPr>
          <w:lang w:val="fr-FR"/>
        </w:rPr>
        <w:t xml:space="preserve"> </w:t>
      </w:r>
      <w:proofErr w:type="spellStart"/>
      <w:r w:rsidRPr="002438AD">
        <w:rPr>
          <w:lang w:val="fr-FR"/>
        </w:rPr>
        <w:t>simptomelor</w:t>
      </w:r>
      <w:proofErr w:type="spellEnd"/>
      <w:r w:rsidRPr="002438AD">
        <w:rPr>
          <w:lang w:val="fr-FR"/>
        </w:rPr>
        <w:t>.</w:t>
      </w:r>
    </w:p>
    <w:p w14:paraId="024A9F5B" w14:textId="7CE52215" w:rsidR="002856D4" w:rsidRDefault="002856D4" w:rsidP="002856D4">
      <w:pPr>
        <w:jc w:val="both"/>
      </w:pPr>
      <w:r w:rsidRPr="002856D4">
        <w:t>Tratamentul profilactic care la rândul lui poate fi împărțit în:</w:t>
      </w:r>
    </w:p>
    <w:p w14:paraId="035D735E" w14:textId="1D313280" w:rsidR="00284A26" w:rsidRDefault="002856D4" w:rsidP="00284A26">
      <w:pPr>
        <w:pStyle w:val="ListParagraph"/>
        <w:numPr>
          <w:ilvl w:val="0"/>
          <w:numId w:val="3"/>
        </w:numPr>
        <w:jc w:val="both"/>
      </w:pPr>
      <w:r>
        <w:t>Tratament profilactic de scurtă durată are ca scop preveni</w:t>
      </w:r>
      <w:r w:rsidR="002438AD">
        <w:t>rea edemului care poate să apară</w:t>
      </w:r>
      <w:r>
        <w:t xml:space="preserve"> ca urmare a expunerii la un anumit factor declanșator (ex</w:t>
      </w:r>
      <w:r w:rsidR="002438AD">
        <w:t>.</w:t>
      </w:r>
      <w:r>
        <w:t xml:space="preserve"> proceduri dentare, intervenții chirurgicale etc). </w:t>
      </w:r>
    </w:p>
    <w:p w14:paraId="2C5A9FE4" w14:textId="77777777" w:rsidR="00284A26" w:rsidRDefault="00284A26" w:rsidP="00284A26">
      <w:pPr>
        <w:pStyle w:val="ListParagraph"/>
        <w:numPr>
          <w:ilvl w:val="1"/>
          <w:numId w:val="3"/>
        </w:numPr>
        <w:jc w:val="both"/>
      </w:pPr>
      <w:r>
        <w:t>Androgeni atenuați (Danazol, Oxandrolon, Stanozolol) în doze mari, cu 5 zile anterior procedurii și 4 zile după procedură.</w:t>
      </w:r>
    </w:p>
    <w:p w14:paraId="2BB4A8F3" w14:textId="55C0920A" w:rsidR="00284A26" w:rsidRDefault="00284A26" w:rsidP="00284A26">
      <w:pPr>
        <w:pStyle w:val="ListParagraph"/>
        <w:numPr>
          <w:ilvl w:val="1"/>
          <w:numId w:val="3"/>
        </w:numPr>
        <w:jc w:val="both"/>
      </w:pPr>
      <w:r>
        <w:t>C1</w:t>
      </w:r>
      <w:r w:rsidR="002438AD">
        <w:t>-</w:t>
      </w:r>
      <w:r>
        <w:t>INH concentrat administrat cu 1-2 h înainte de procedură (atunci când este disponibil).</w:t>
      </w:r>
    </w:p>
    <w:p w14:paraId="4D88A611" w14:textId="31838279" w:rsidR="002856D4" w:rsidRDefault="00284A26" w:rsidP="00284A26">
      <w:pPr>
        <w:pStyle w:val="ListParagraph"/>
        <w:numPr>
          <w:ilvl w:val="0"/>
          <w:numId w:val="3"/>
        </w:numPr>
        <w:jc w:val="both"/>
      </w:pPr>
      <w:r>
        <w:t xml:space="preserve">Tratament profilactic de lungă durată are ca scop reducerea frecvenței </w:t>
      </w:r>
      <w:r w:rsidR="002438AD">
        <w:t>ș</w:t>
      </w:r>
      <w:r>
        <w:t>i duratei atacu</w:t>
      </w:r>
      <w:r w:rsidR="002438AD">
        <w:t>rilor de angioedem. Se adresează</w:t>
      </w:r>
      <w:r>
        <w:t xml:space="preserve"> în special pacienților cu atacuri severe și frecvente, cu risc major de apariție a edemului laringian și cu impact puternic asupra calității vieții. </w:t>
      </w:r>
    </w:p>
    <w:p w14:paraId="799452EF" w14:textId="4C67E587" w:rsidR="00684D91" w:rsidRDefault="00684D91" w:rsidP="00684D91">
      <w:pPr>
        <w:pStyle w:val="ListParagraph"/>
        <w:numPr>
          <w:ilvl w:val="1"/>
          <w:numId w:val="3"/>
        </w:numPr>
        <w:jc w:val="both"/>
      </w:pPr>
      <w:r>
        <w:t>T</w:t>
      </w:r>
      <w:r w:rsidRPr="00684D91">
        <w:t>erapiile de primă linie includ inhibitorul monoclonal de kalikreină plasmatică numit Lanadelumab, pdC1-INH IV (Cinryze) și pdC1-INH SC (Haegarda).</w:t>
      </w:r>
    </w:p>
    <w:p w14:paraId="27EBCFAA" w14:textId="0C3B28C2" w:rsidR="002856D4" w:rsidRDefault="002856D4" w:rsidP="00284A26">
      <w:pPr>
        <w:pStyle w:val="ListParagraph"/>
        <w:numPr>
          <w:ilvl w:val="1"/>
          <w:numId w:val="3"/>
        </w:numPr>
        <w:jc w:val="both"/>
      </w:pPr>
      <w:r>
        <w:t>Androgeni atenuați (Danazol, Oxandrolon, Stanozolol). Pe termen lung, trebuie avută în vedere apariția reacțiilor adverse (cel mai frecvent creștere în greutate, virilizare, tulburări de ciclu menstrual, hirsutis</w:t>
      </w:r>
      <w:r w:rsidR="00284A26">
        <w:t>m la femei, afectare hepatică).</w:t>
      </w:r>
    </w:p>
    <w:p w14:paraId="7D598C31" w14:textId="48DD4163" w:rsidR="002856D4" w:rsidRPr="002856D4" w:rsidRDefault="002856D4" w:rsidP="00284A26">
      <w:pPr>
        <w:pStyle w:val="ListParagraph"/>
        <w:numPr>
          <w:ilvl w:val="1"/>
          <w:numId w:val="3"/>
        </w:numPr>
        <w:jc w:val="both"/>
      </w:pPr>
      <w:r>
        <w:t>Acid tranexamic</w:t>
      </w:r>
      <w:r w:rsidR="00684D91">
        <w:t xml:space="preserve"> antifibrinolitic</w:t>
      </w:r>
      <w:r>
        <w:t>.</w:t>
      </w:r>
    </w:p>
    <w:p w14:paraId="718D2955" w14:textId="77777777" w:rsidR="00C111E7" w:rsidRDefault="00C111E7" w:rsidP="00AF5387">
      <w:pPr>
        <w:jc w:val="both"/>
      </w:pPr>
    </w:p>
    <w:p w14:paraId="4EEDE2B1" w14:textId="77777777" w:rsidR="00800598" w:rsidRPr="00800598" w:rsidRDefault="00800598" w:rsidP="00471AF1">
      <w:pPr>
        <w:jc w:val="both"/>
      </w:pPr>
      <w:r w:rsidRPr="00800598">
        <w:rPr>
          <w:b/>
          <w:bCs/>
          <w:i/>
          <w:iCs/>
        </w:rPr>
        <w:t>Viaţa cotidiană</w:t>
      </w:r>
    </w:p>
    <w:p w14:paraId="408AAD1C" w14:textId="6976F872" w:rsidR="00800598" w:rsidRDefault="00231538" w:rsidP="00471AF1">
      <w:pPr>
        <w:jc w:val="both"/>
      </w:pPr>
      <w:r>
        <w:t>Datorită temerii fondate pentru atacurile iminente, calitatea vieții persoanelor cu angioedem ereditar este profund afectată. Aceștia, familia lor și echipa medicală care îi îngrijește trebuie să fie pregătiți și să îi instruiască pe cei din jur cu ceea ce este de făcut în caz de urgență.</w:t>
      </w:r>
    </w:p>
    <w:p w14:paraId="086FEB8C" w14:textId="77777777" w:rsidR="00044381" w:rsidRDefault="00044381" w:rsidP="00471AF1">
      <w:pPr>
        <w:jc w:val="both"/>
      </w:pPr>
    </w:p>
    <w:p w14:paraId="36529F18" w14:textId="282CC1EB" w:rsidR="002438AD" w:rsidRPr="00800598" w:rsidRDefault="002438AD" w:rsidP="002438AD">
      <w:pPr>
        <w:jc w:val="both"/>
      </w:pPr>
      <w:r>
        <w:rPr>
          <w:b/>
          <w:bCs/>
          <w:i/>
          <w:iCs/>
        </w:rPr>
        <w:t>Referințe:</w:t>
      </w:r>
    </w:p>
    <w:p w14:paraId="28453EFF" w14:textId="7421367A" w:rsidR="00F37870" w:rsidRDefault="00F37870" w:rsidP="00F5536E">
      <w:pPr>
        <w:pStyle w:val="ListParagraph"/>
        <w:numPr>
          <w:ilvl w:val="0"/>
          <w:numId w:val="4"/>
        </w:numPr>
        <w:ind w:left="360"/>
        <w:jc w:val="both"/>
      </w:pPr>
      <w:r w:rsidRPr="00F37870">
        <w:t>Ghazi A., Grant J.A. Hereditary angioedema: Epidemiology, management, and role of icatibant. Biologics. 2013;7:103–113. doi: 10.2147/BTT.S27566.</w:t>
      </w:r>
    </w:p>
    <w:p w14:paraId="48AC023F" w14:textId="095DE4B8" w:rsidR="00044381" w:rsidRDefault="00044381" w:rsidP="00F5536E">
      <w:pPr>
        <w:pStyle w:val="ListParagraph"/>
        <w:numPr>
          <w:ilvl w:val="0"/>
          <w:numId w:val="4"/>
        </w:numPr>
        <w:ind w:left="360"/>
        <w:jc w:val="both"/>
      </w:pPr>
      <w:r w:rsidRPr="00044381">
        <w:t>Sinnathamby ES, Issa PP, Roberts L, Norwood H, Malone K, Vemulapalli H, Ahmadzadeh S, Cornett EM, Shekoohi S, Kaye AD. Hereditary Angioedema: Diagnosis, Clinical Implications, and Pathophysiology. Adv Ther. 2023 Mar;40(3):814-827.</w:t>
      </w:r>
    </w:p>
    <w:p w14:paraId="70708A60" w14:textId="54BB2537" w:rsidR="002438AD" w:rsidRDefault="002438AD" w:rsidP="00F5536E">
      <w:pPr>
        <w:pStyle w:val="ListParagraph"/>
        <w:numPr>
          <w:ilvl w:val="0"/>
          <w:numId w:val="4"/>
        </w:numPr>
        <w:ind w:left="360"/>
        <w:jc w:val="both"/>
      </w:pPr>
      <w:r w:rsidRPr="002438AD">
        <w:t>Santacroce R, D'Andrea G, Maffione AB, Margaglione M, d'Apolito M. The Genetics of Hereditary Angioedema: A Review. J Clin Med. 2021 May 9;10(9):2023.</w:t>
      </w:r>
    </w:p>
    <w:p w14:paraId="2A8F81ED" w14:textId="6C17BF5C" w:rsidR="002438AD" w:rsidRDefault="002438AD" w:rsidP="00F5536E">
      <w:pPr>
        <w:pStyle w:val="ListParagraph"/>
        <w:numPr>
          <w:ilvl w:val="0"/>
          <w:numId w:val="4"/>
        </w:numPr>
        <w:ind w:left="360"/>
        <w:jc w:val="both"/>
      </w:pPr>
      <w:r w:rsidRPr="002438AD">
        <w:lastRenderedPageBreak/>
        <w:t>Mendoza-Alvarez A, Tosco-Herrera E, Muñoz-Barrera A, Rubio-Rodríguez LA, Alonso-Gonzalez A, Corrales A, Iñigo-Campos A, Almeida-Quintana L, Martin-Fernandez E, Martinez-Beltran D, Perez-Rodriguez E, Callero A, Garcia-Robaina JC, González-Montelongo R, Marcelino-Rodriguez I, Lorenzo-Salazar JM, Flores C. A catalog of the genetic causes of hereditary angioedema in the Canary Islands (Spain). Front Immunol. 2022 Sep 20;13:997148.</w:t>
      </w:r>
    </w:p>
    <w:p w14:paraId="308F1C95" w14:textId="12409C35" w:rsidR="002438AD" w:rsidRDefault="002438AD" w:rsidP="00F5536E">
      <w:pPr>
        <w:pStyle w:val="ListParagraph"/>
        <w:numPr>
          <w:ilvl w:val="0"/>
          <w:numId w:val="4"/>
        </w:numPr>
        <w:ind w:left="360"/>
        <w:jc w:val="both"/>
      </w:pPr>
      <w:r w:rsidRPr="002438AD">
        <w:t xml:space="preserve">Abdulkarim A, Craig TJ. Hereditary Angioedema. [Updated 2023 May 1]. In: StatPearls [Internet]. Treasure Island (FL): </w:t>
      </w:r>
      <w:r>
        <w:t>StatPearls Publishing; 2023 Jan</w:t>
      </w:r>
      <w:r w:rsidRPr="002438AD">
        <w:t>.</w:t>
      </w:r>
    </w:p>
    <w:p w14:paraId="721C1AD7" w14:textId="3736134C" w:rsidR="00044381" w:rsidRDefault="00110DB0" w:rsidP="00F5536E">
      <w:pPr>
        <w:pStyle w:val="ListParagraph"/>
        <w:numPr>
          <w:ilvl w:val="0"/>
          <w:numId w:val="4"/>
        </w:numPr>
        <w:ind w:left="360"/>
        <w:jc w:val="both"/>
      </w:pPr>
      <w:hyperlink r:id="rId7" w:history="1">
        <w:r w:rsidR="002438AD" w:rsidRPr="006709D2">
          <w:rPr>
            <w:rStyle w:val="Hyperlink"/>
          </w:rPr>
          <w:t>https://romania.haei.org/tratament/</w:t>
        </w:r>
      </w:hyperlink>
    </w:p>
    <w:p w14:paraId="1F3227C2" w14:textId="77777777" w:rsidR="002438AD" w:rsidRPr="00800598" w:rsidRDefault="002438AD" w:rsidP="00471AF1">
      <w:pPr>
        <w:jc w:val="both"/>
      </w:pPr>
    </w:p>
    <w:sectPr w:rsidR="002438AD" w:rsidRPr="00800598" w:rsidSect="00175F10">
      <w:headerReference w:type="default" r:id="rId8"/>
      <w:pgSz w:w="11906" w:h="16838" w:code="9"/>
      <w:pgMar w:top="1701" w:right="851" w:bottom="851" w:left="1134" w:header="1134" w:footer="6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F9B50" w14:textId="77777777" w:rsidR="00110DB0" w:rsidRDefault="00110DB0" w:rsidP="00D77B96">
      <w:pPr>
        <w:spacing w:line="240" w:lineRule="auto"/>
      </w:pPr>
      <w:r>
        <w:separator/>
      </w:r>
    </w:p>
  </w:endnote>
  <w:endnote w:type="continuationSeparator" w:id="0">
    <w:p w14:paraId="1D16EF14" w14:textId="77777777" w:rsidR="00110DB0" w:rsidRDefault="00110DB0" w:rsidP="00D7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35020" w14:textId="77777777" w:rsidR="00110DB0" w:rsidRDefault="00110DB0" w:rsidP="00D77B96">
      <w:pPr>
        <w:spacing w:line="240" w:lineRule="auto"/>
      </w:pPr>
      <w:r>
        <w:separator/>
      </w:r>
    </w:p>
  </w:footnote>
  <w:footnote w:type="continuationSeparator" w:id="0">
    <w:p w14:paraId="5D01D5CC" w14:textId="77777777" w:rsidR="00110DB0" w:rsidRDefault="00110DB0" w:rsidP="00D7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43C1" w14:textId="0C5FEC08" w:rsidR="00D77B96" w:rsidRPr="008C7A39" w:rsidRDefault="00B026D9">
    <w:pPr>
      <w:pStyle w:val="Header"/>
      <w:rPr>
        <w:i/>
        <w:iCs/>
      </w:rPr>
    </w:pPr>
    <w:r>
      <w:rPr>
        <w:i/>
        <w:iCs/>
        <w:noProof/>
        <w:lang w:val="en-US"/>
      </w:rPr>
      <w:drawing>
        <wp:anchor distT="0" distB="0" distL="114300" distR="114300" simplePos="0" relativeHeight="251658240" behindDoc="1" locked="0" layoutInCell="1" allowOverlap="1" wp14:anchorId="56EE97D1" wp14:editId="624D9594">
          <wp:simplePos x="0" y="0"/>
          <wp:positionH relativeFrom="page">
            <wp:align>left</wp:align>
          </wp:positionH>
          <wp:positionV relativeFrom="page">
            <wp:align>top</wp:align>
          </wp:positionV>
          <wp:extent cx="7558560" cy="10691640"/>
          <wp:effectExtent l="0" t="0" r="0" b="0"/>
          <wp:wrapNone/>
          <wp:docPr id="19105625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2583" name="Graphic 1910562583"/>
                  <pic:cNvPicPr/>
                </pic:nvPicPr>
                <pic:blipFill>
                  <a:blip r:embed="rId1">
                    <a:extLst>
                      <a:ext uri="{28A0092B-C50C-407E-A947-70E740481C1C}">
                        <a14:useLocalDpi xmlns:a14="http://schemas.microsoft.com/office/drawing/2010/main" val="0"/>
                      </a:ext>
                      <a:ext uri="{96DAC541-7B7A-43D3-8B79-37D633B846F1}">
                        <asvg:svgBlip xmlns:cx1="http://schemas.microsoft.com/office/drawing/2015/9/8/chartex"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7558560" cy="10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52528"/>
    <w:multiLevelType w:val="hybridMultilevel"/>
    <w:tmpl w:val="6276AD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5177F2"/>
    <w:multiLevelType w:val="hybridMultilevel"/>
    <w:tmpl w:val="883259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CA56282"/>
    <w:multiLevelType w:val="hybridMultilevel"/>
    <w:tmpl w:val="A69074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6B616D8"/>
    <w:multiLevelType w:val="hybridMultilevel"/>
    <w:tmpl w:val="103ACE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96"/>
    <w:rsid w:val="00032B0F"/>
    <w:rsid w:val="00044381"/>
    <w:rsid w:val="000E67A7"/>
    <w:rsid w:val="00110DB0"/>
    <w:rsid w:val="00136138"/>
    <w:rsid w:val="001377C0"/>
    <w:rsid w:val="00175F10"/>
    <w:rsid w:val="00231538"/>
    <w:rsid w:val="002438AD"/>
    <w:rsid w:val="00284A26"/>
    <w:rsid w:val="002856D4"/>
    <w:rsid w:val="00471AF1"/>
    <w:rsid w:val="004C5A5D"/>
    <w:rsid w:val="004F2B51"/>
    <w:rsid w:val="00573C90"/>
    <w:rsid w:val="00580709"/>
    <w:rsid w:val="005C5929"/>
    <w:rsid w:val="005D34A9"/>
    <w:rsid w:val="005D62E5"/>
    <w:rsid w:val="00603259"/>
    <w:rsid w:val="00635D89"/>
    <w:rsid w:val="006435A6"/>
    <w:rsid w:val="00684D91"/>
    <w:rsid w:val="00687945"/>
    <w:rsid w:val="006A12B7"/>
    <w:rsid w:val="007E2F5E"/>
    <w:rsid w:val="007F45B4"/>
    <w:rsid w:val="00800598"/>
    <w:rsid w:val="008037BE"/>
    <w:rsid w:val="008C7A39"/>
    <w:rsid w:val="00907158"/>
    <w:rsid w:val="00946088"/>
    <w:rsid w:val="00A309FC"/>
    <w:rsid w:val="00A361E4"/>
    <w:rsid w:val="00A70F4A"/>
    <w:rsid w:val="00AA6DBF"/>
    <w:rsid w:val="00AD0FD9"/>
    <w:rsid w:val="00AD55F0"/>
    <w:rsid w:val="00AD590F"/>
    <w:rsid w:val="00AD7EBB"/>
    <w:rsid w:val="00AE1B71"/>
    <w:rsid w:val="00AF5387"/>
    <w:rsid w:val="00AF6F16"/>
    <w:rsid w:val="00B026D9"/>
    <w:rsid w:val="00B05EAD"/>
    <w:rsid w:val="00B64B22"/>
    <w:rsid w:val="00BA58E8"/>
    <w:rsid w:val="00BF0C05"/>
    <w:rsid w:val="00C111E7"/>
    <w:rsid w:val="00C7791A"/>
    <w:rsid w:val="00CB62CB"/>
    <w:rsid w:val="00D331A6"/>
    <w:rsid w:val="00D769F1"/>
    <w:rsid w:val="00D77B96"/>
    <w:rsid w:val="00E6474A"/>
    <w:rsid w:val="00E67861"/>
    <w:rsid w:val="00EF71B5"/>
    <w:rsid w:val="00F37870"/>
    <w:rsid w:val="00F5536E"/>
    <w:rsid w:val="00FE3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8030"/>
  <w15:docId w15:val="{7106B9D0-425A-4DFB-9B90-86CC212B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B96"/>
    <w:pPr>
      <w:spacing w:after="0"/>
      <w:ind w:firstLine="720"/>
    </w:pPr>
    <w:rPr>
      <w:rFonts w:ascii="Arial" w:hAnsi="Arial"/>
      <w:lang w:val="ro-RO"/>
    </w:rPr>
  </w:style>
  <w:style w:type="paragraph" w:styleId="Heading1">
    <w:name w:val="heading 1"/>
    <w:basedOn w:val="Normal"/>
    <w:next w:val="Normal"/>
    <w:link w:val="Heading1Char"/>
    <w:autoRedefine/>
    <w:uiPriority w:val="9"/>
    <w:qFormat/>
    <w:rsid w:val="00D77B96"/>
    <w:pPr>
      <w:keepNext/>
      <w:keepLines/>
      <w:spacing w:after="12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D77B96"/>
    <w:pPr>
      <w:keepNext/>
      <w:keepLines/>
      <w:spacing w:after="120" w:line="240" w:lineRule="auto"/>
      <w:outlineLvl w:val="1"/>
    </w:pPr>
    <w:rPr>
      <w:rFonts w:eastAsiaTheme="majorEastAsia" w:cstheme="majorBidi"/>
      <w:b/>
      <w:sz w:val="24"/>
      <w:szCs w:val="36"/>
    </w:rPr>
  </w:style>
  <w:style w:type="paragraph" w:styleId="Heading3">
    <w:name w:val="heading 3"/>
    <w:basedOn w:val="Normal"/>
    <w:next w:val="Normal"/>
    <w:link w:val="Heading3Char"/>
    <w:uiPriority w:val="9"/>
    <w:semiHidden/>
    <w:unhideWhenUsed/>
    <w:qFormat/>
    <w:rsid w:val="002856D4"/>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7B96"/>
    <w:rPr>
      <w:rFonts w:ascii="Arial" w:eastAsiaTheme="majorEastAsia" w:hAnsi="Arial" w:cstheme="majorBidi"/>
      <w:b/>
      <w:sz w:val="24"/>
      <w:szCs w:val="36"/>
      <w:lang w:val="ro-RO"/>
    </w:rPr>
  </w:style>
  <w:style w:type="paragraph" w:styleId="Header">
    <w:name w:val="header"/>
    <w:basedOn w:val="Normal"/>
    <w:link w:val="HeaderChar"/>
    <w:uiPriority w:val="99"/>
    <w:unhideWhenUsed/>
    <w:rsid w:val="00D77B96"/>
    <w:pPr>
      <w:tabs>
        <w:tab w:val="center" w:pos="4680"/>
        <w:tab w:val="right" w:pos="9360"/>
      </w:tabs>
      <w:spacing w:line="240" w:lineRule="auto"/>
    </w:pPr>
  </w:style>
  <w:style w:type="character" w:customStyle="1" w:styleId="HeaderChar">
    <w:name w:val="Header Char"/>
    <w:basedOn w:val="DefaultParagraphFont"/>
    <w:link w:val="Header"/>
    <w:uiPriority w:val="99"/>
    <w:rsid w:val="00D77B96"/>
    <w:rPr>
      <w:rFonts w:ascii="Arial" w:hAnsi="Arial"/>
      <w:lang w:val="ro-RO"/>
    </w:rPr>
  </w:style>
  <w:style w:type="paragraph" w:styleId="Footer">
    <w:name w:val="footer"/>
    <w:basedOn w:val="Normal"/>
    <w:link w:val="FooterChar"/>
    <w:uiPriority w:val="99"/>
    <w:unhideWhenUsed/>
    <w:rsid w:val="00D77B96"/>
    <w:pPr>
      <w:tabs>
        <w:tab w:val="center" w:pos="4680"/>
        <w:tab w:val="right" w:pos="9360"/>
      </w:tabs>
      <w:spacing w:line="240" w:lineRule="auto"/>
    </w:pPr>
  </w:style>
  <w:style w:type="character" w:customStyle="1" w:styleId="FooterChar">
    <w:name w:val="Footer Char"/>
    <w:basedOn w:val="DefaultParagraphFont"/>
    <w:link w:val="Footer"/>
    <w:uiPriority w:val="99"/>
    <w:rsid w:val="00D77B96"/>
    <w:rPr>
      <w:rFonts w:ascii="Arial" w:hAnsi="Arial"/>
      <w:lang w:val="ro-RO"/>
    </w:rPr>
  </w:style>
  <w:style w:type="character" w:customStyle="1" w:styleId="Heading1Char">
    <w:name w:val="Heading 1 Char"/>
    <w:basedOn w:val="DefaultParagraphFont"/>
    <w:link w:val="Heading1"/>
    <w:uiPriority w:val="9"/>
    <w:rsid w:val="00D77B96"/>
    <w:rPr>
      <w:rFonts w:ascii="Arial" w:eastAsiaTheme="majorEastAsia" w:hAnsi="Arial" w:cstheme="majorBidi"/>
      <w:b/>
      <w:sz w:val="28"/>
      <w:szCs w:val="32"/>
      <w:lang w:val="ro-RO"/>
    </w:rPr>
  </w:style>
  <w:style w:type="character" w:styleId="Hyperlink">
    <w:name w:val="Hyperlink"/>
    <w:basedOn w:val="DefaultParagraphFont"/>
    <w:uiPriority w:val="99"/>
    <w:unhideWhenUsed/>
    <w:rsid w:val="006A12B7"/>
    <w:rPr>
      <w:color w:val="0000FF"/>
      <w:u w:val="single"/>
    </w:rPr>
  </w:style>
  <w:style w:type="paragraph" w:styleId="ListParagraph">
    <w:name w:val="List Paragraph"/>
    <w:basedOn w:val="Normal"/>
    <w:uiPriority w:val="34"/>
    <w:qFormat/>
    <w:rsid w:val="002856D4"/>
    <w:pPr>
      <w:ind w:left="720"/>
      <w:contextualSpacing/>
    </w:pPr>
  </w:style>
  <w:style w:type="character" w:customStyle="1" w:styleId="Heading3Char">
    <w:name w:val="Heading 3 Char"/>
    <w:basedOn w:val="DefaultParagraphFont"/>
    <w:link w:val="Heading3"/>
    <w:uiPriority w:val="9"/>
    <w:semiHidden/>
    <w:rsid w:val="002856D4"/>
    <w:rPr>
      <w:rFonts w:asciiTheme="majorHAnsi" w:eastAsiaTheme="majorEastAsia" w:hAnsiTheme="majorHAnsi" w:cstheme="majorBidi"/>
      <w:b/>
      <w:bCs/>
      <w:color w:val="4472C4" w:themeColor="accent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06947">
      <w:bodyDiv w:val="1"/>
      <w:marLeft w:val="0"/>
      <w:marRight w:val="0"/>
      <w:marTop w:val="0"/>
      <w:marBottom w:val="0"/>
      <w:divBdr>
        <w:top w:val="none" w:sz="0" w:space="0" w:color="auto"/>
        <w:left w:val="none" w:sz="0" w:space="0" w:color="auto"/>
        <w:bottom w:val="none" w:sz="0" w:space="0" w:color="auto"/>
        <w:right w:val="none" w:sz="0" w:space="0" w:color="auto"/>
      </w:divBdr>
    </w:div>
    <w:div w:id="374738788">
      <w:bodyDiv w:val="1"/>
      <w:marLeft w:val="0"/>
      <w:marRight w:val="0"/>
      <w:marTop w:val="0"/>
      <w:marBottom w:val="0"/>
      <w:divBdr>
        <w:top w:val="none" w:sz="0" w:space="0" w:color="auto"/>
        <w:left w:val="none" w:sz="0" w:space="0" w:color="auto"/>
        <w:bottom w:val="none" w:sz="0" w:space="0" w:color="auto"/>
        <w:right w:val="none" w:sz="0" w:space="0" w:color="auto"/>
      </w:divBdr>
    </w:div>
    <w:div w:id="536236056">
      <w:bodyDiv w:val="1"/>
      <w:marLeft w:val="0"/>
      <w:marRight w:val="0"/>
      <w:marTop w:val="0"/>
      <w:marBottom w:val="0"/>
      <w:divBdr>
        <w:top w:val="none" w:sz="0" w:space="0" w:color="auto"/>
        <w:left w:val="none" w:sz="0" w:space="0" w:color="auto"/>
        <w:bottom w:val="none" w:sz="0" w:space="0" w:color="auto"/>
        <w:right w:val="none" w:sz="0" w:space="0" w:color="auto"/>
      </w:divBdr>
      <w:divsChild>
        <w:div w:id="1815757949">
          <w:marLeft w:val="0"/>
          <w:marRight w:val="0"/>
          <w:marTop w:val="0"/>
          <w:marBottom w:val="0"/>
          <w:divBdr>
            <w:top w:val="none" w:sz="0" w:space="0" w:color="auto"/>
            <w:left w:val="none" w:sz="0" w:space="0" w:color="auto"/>
            <w:bottom w:val="none" w:sz="0" w:space="0" w:color="auto"/>
            <w:right w:val="none" w:sz="0" w:space="0" w:color="auto"/>
          </w:divBdr>
        </w:div>
        <w:div w:id="27605695">
          <w:marLeft w:val="0"/>
          <w:marRight w:val="0"/>
          <w:marTop w:val="0"/>
          <w:marBottom w:val="0"/>
          <w:divBdr>
            <w:top w:val="none" w:sz="0" w:space="0" w:color="auto"/>
            <w:left w:val="none" w:sz="0" w:space="0" w:color="auto"/>
            <w:bottom w:val="none" w:sz="0" w:space="0" w:color="auto"/>
            <w:right w:val="none" w:sz="0" w:space="0" w:color="auto"/>
          </w:divBdr>
        </w:div>
        <w:div w:id="1308364725">
          <w:marLeft w:val="0"/>
          <w:marRight w:val="0"/>
          <w:marTop w:val="0"/>
          <w:marBottom w:val="0"/>
          <w:divBdr>
            <w:top w:val="none" w:sz="0" w:space="0" w:color="auto"/>
            <w:left w:val="none" w:sz="0" w:space="0" w:color="auto"/>
            <w:bottom w:val="none" w:sz="0" w:space="0" w:color="auto"/>
            <w:right w:val="none" w:sz="0" w:space="0" w:color="auto"/>
          </w:divBdr>
        </w:div>
      </w:divsChild>
    </w:div>
    <w:div w:id="1087924392">
      <w:bodyDiv w:val="1"/>
      <w:marLeft w:val="0"/>
      <w:marRight w:val="0"/>
      <w:marTop w:val="0"/>
      <w:marBottom w:val="0"/>
      <w:divBdr>
        <w:top w:val="none" w:sz="0" w:space="0" w:color="auto"/>
        <w:left w:val="none" w:sz="0" w:space="0" w:color="auto"/>
        <w:bottom w:val="none" w:sz="0" w:space="0" w:color="auto"/>
        <w:right w:val="none" w:sz="0" w:space="0" w:color="auto"/>
      </w:divBdr>
    </w:div>
    <w:div w:id="1436176124">
      <w:bodyDiv w:val="1"/>
      <w:marLeft w:val="0"/>
      <w:marRight w:val="0"/>
      <w:marTop w:val="0"/>
      <w:marBottom w:val="0"/>
      <w:divBdr>
        <w:top w:val="none" w:sz="0" w:space="0" w:color="auto"/>
        <w:left w:val="none" w:sz="0" w:space="0" w:color="auto"/>
        <w:bottom w:val="none" w:sz="0" w:space="0" w:color="auto"/>
        <w:right w:val="none" w:sz="0" w:space="0" w:color="auto"/>
      </w:divBdr>
      <w:divsChild>
        <w:div w:id="1003780756">
          <w:marLeft w:val="750"/>
          <w:marRight w:val="0"/>
          <w:marTop w:val="0"/>
          <w:marBottom w:val="0"/>
          <w:divBdr>
            <w:top w:val="none" w:sz="0" w:space="0" w:color="auto"/>
            <w:left w:val="none" w:sz="0" w:space="0" w:color="auto"/>
            <w:bottom w:val="none" w:sz="0" w:space="0" w:color="auto"/>
            <w:right w:val="none" w:sz="0" w:space="0" w:color="auto"/>
          </w:divBdr>
          <w:divsChild>
            <w:div w:id="548688563">
              <w:marLeft w:val="0"/>
              <w:marRight w:val="0"/>
              <w:marTop w:val="0"/>
              <w:marBottom w:val="0"/>
              <w:divBdr>
                <w:top w:val="none" w:sz="0" w:space="0" w:color="auto"/>
                <w:left w:val="none" w:sz="0" w:space="0" w:color="auto"/>
                <w:bottom w:val="none" w:sz="0" w:space="0" w:color="auto"/>
                <w:right w:val="none" w:sz="0" w:space="0" w:color="auto"/>
              </w:divBdr>
              <w:divsChild>
                <w:div w:id="654995321">
                  <w:marLeft w:val="0"/>
                  <w:marRight w:val="0"/>
                  <w:marTop w:val="0"/>
                  <w:marBottom w:val="0"/>
                  <w:divBdr>
                    <w:top w:val="none" w:sz="0" w:space="0" w:color="auto"/>
                    <w:left w:val="none" w:sz="0" w:space="0" w:color="auto"/>
                    <w:bottom w:val="none" w:sz="0" w:space="0" w:color="auto"/>
                    <w:right w:val="none" w:sz="0" w:space="0" w:color="auto"/>
                  </w:divBdr>
                  <w:divsChild>
                    <w:div w:id="1519150175">
                      <w:marLeft w:val="0"/>
                      <w:marRight w:val="0"/>
                      <w:marTop w:val="0"/>
                      <w:marBottom w:val="0"/>
                      <w:divBdr>
                        <w:top w:val="none" w:sz="0" w:space="0" w:color="auto"/>
                        <w:left w:val="none" w:sz="0" w:space="0" w:color="auto"/>
                        <w:bottom w:val="none" w:sz="0" w:space="0" w:color="auto"/>
                        <w:right w:val="none" w:sz="0" w:space="0" w:color="auto"/>
                      </w:divBdr>
                      <w:divsChild>
                        <w:div w:id="764152297">
                          <w:marLeft w:val="0"/>
                          <w:marRight w:val="0"/>
                          <w:marTop w:val="0"/>
                          <w:marBottom w:val="0"/>
                          <w:divBdr>
                            <w:top w:val="none" w:sz="0" w:space="0" w:color="auto"/>
                            <w:left w:val="none" w:sz="0" w:space="0" w:color="auto"/>
                            <w:bottom w:val="none" w:sz="0" w:space="0" w:color="auto"/>
                            <w:right w:val="none" w:sz="0" w:space="0" w:color="auto"/>
                          </w:divBdr>
                        </w:div>
                        <w:div w:id="2094204613">
                          <w:marLeft w:val="0"/>
                          <w:marRight w:val="0"/>
                          <w:marTop w:val="0"/>
                          <w:marBottom w:val="0"/>
                          <w:divBdr>
                            <w:top w:val="none" w:sz="0" w:space="0" w:color="auto"/>
                            <w:left w:val="none" w:sz="0" w:space="0" w:color="auto"/>
                            <w:bottom w:val="none" w:sz="0" w:space="0" w:color="auto"/>
                            <w:right w:val="none" w:sz="0" w:space="0" w:color="auto"/>
                          </w:divBdr>
                        </w:div>
                        <w:div w:id="97938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637616">
          <w:marLeft w:val="750"/>
          <w:marRight w:val="0"/>
          <w:marTop w:val="0"/>
          <w:marBottom w:val="0"/>
          <w:divBdr>
            <w:top w:val="none" w:sz="0" w:space="0" w:color="auto"/>
            <w:left w:val="none" w:sz="0" w:space="0" w:color="auto"/>
            <w:bottom w:val="none" w:sz="0" w:space="0" w:color="auto"/>
            <w:right w:val="none" w:sz="0" w:space="0" w:color="auto"/>
          </w:divBdr>
          <w:divsChild>
            <w:div w:id="766001354">
              <w:marLeft w:val="0"/>
              <w:marRight w:val="0"/>
              <w:marTop w:val="0"/>
              <w:marBottom w:val="0"/>
              <w:divBdr>
                <w:top w:val="none" w:sz="0" w:space="0" w:color="auto"/>
                <w:left w:val="none" w:sz="0" w:space="0" w:color="auto"/>
                <w:bottom w:val="none" w:sz="0" w:space="0" w:color="auto"/>
                <w:right w:val="none" w:sz="0" w:space="0" w:color="auto"/>
              </w:divBdr>
              <w:divsChild>
                <w:div w:id="836267280">
                  <w:marLeft w:val="0"/>
                  <w:marRight w:val="0"/>
                  <w:marTop w:val="0"/>
                  <w:marBottom w:val="0"/>
                  <w:divBdr>
                    <w:top w:val="none" w:sz="0" w:space="0" w:color="auto"/>
                    <w:left w:val="none" w:sz="0" w:space="0" w:color="auto"/>
                    <w:bottom w:val="none" w:sz="0" w:space="0" w:color="auto"/>
                    <w:right w:val="none" w:sz="0" w:space="0" w:color="auto"/>
                  </w:divBdr>
                  <w:divsChild>
                    <w:div w:id="1053575431">
                      <w:marLeft w:val="0"/>
                      <w:marRight w:val="0"/>
                      <w:marTop w:val="0"/>
                      <w:marBottom w:val="0"/>
                      <w:divBdr>
                        <w:top w:val="none" w:sz="0" w:space="0" w:color="auto"/>
                        <w:left w:val="none" w:sz="0" w:space="0" w:color="auto"/>
                        <w:bottom w:val="none" w:sz="0" w:space="0" w:color="auto"/>
                        <w:right w:val="none" w:sz="0" w:space="0" w:color="auto"/>
                      </w:divBdr>
                      <w:divsChild>
                        <w:div w:id="819732505">
                          <w:marLeft w:val="0"/>
                          <w:marRight w:val="0"/>
                          <w:marTop w:val="0"/>
                          <w:marBottom w:val="0"/>
                          <w:divBdr>
                            <w:top w:val="none" w:sz="0" w:space="0" w:color="auto"/>
                            <w:left w:val="none" w:sz="0" w:space="0" w:color="auto"/>
                            <w:bottom w:val="none" w:sz="0" w:space="0" w:color="auto"/>
                            <w:right w:val="none" w:sz="0" w:space="0" w:color="auto"/>
                          </w:divBdr>
                        </w:div>
                        <w:div w:id="1215849768">
                          <w:marLeft w:val="0"/>
                          <w:marRight w:val="0"/>
                          <w:marTop w:val="0"/>
                          <w:marBottom w:val="0"/>
                          <w:divBdr>
                            <w:top w:val="none" w:sz="0" w:space="0" w:color="auto"/>
                            <w:left w:val="none" w:sz="0" w:space="0" w:color="auto"/>
                            <w:bottom w:val="none" w:sz="0" w:space="0" w:color="auto"/>
                            <w:right w:val="none" w:sz="0" w:space="0" w:color="auto"/>
                          </w:divBdr>
                        </w:div>
                        <w:div w:id="137064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90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omania.haei.org/trata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Dombi Istvan</dc:creator>
  <cp:lastModifiedBy>Maria</cp:lastModifiedBy>
  <cp:revision>2</cp:revision>
  <dcterms:created xsi:type="dcterms:W3CDTF">2024-06-10T15:00:00Z</dcterms:created>
  <dcterms:modified xsi:type="dcterms:W3CDTF">2024-06-10T15:00:00Z</dcterms:modified>
</cp:coreProperties>
</file>