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74F5DB06" w:rsidR="00175F10" w:rsidRDefault="00175F10" w:rsidP="00FC6D43"/>
    <w:p w14:paraId="5906AC36" w14:textId="0F1E7F56" w:rsidR="00B14418" w:rsidRDefault="00B14418" w:rsidP="00B14418">
      <w:pPr>
        <w:jc w:val="both"/>
        <w:rPr>
          <w:rFonts w:ascii="Times New Roman" w:hAnsi="Times New Roman" w:cs="Times New Roman"/>
          <w:b/>
          <w:sz w:val="32"/>
        </w:rPr>
      </w:pPr>
      <w:bookmarkStart w:id="0" w:name="_GoBack"/>
      <w:r>
        <w:rPr>
          <w:rFonts w:ascii="Times New Roman" w:hAnsi="Times New Roman" w:cs="Times New Roman"/>
          <w:b/>
          <w:sz w:val="32"/>
        </w:rPr>
        <w:t xml:space="preserve">Ataxia </w:t>
      </w:r>
      <w:proofErr w:type="spellStart"/>
      <w:r>
        <w:rPr>
          <w:rFonts w:ascii="Times New Roman" w:hAnsi="Times New Roman" w:cs="Times New Roman"/>
          <w:b/>
          <w:sz w:val="32"/>
        </w:rPr>
        <w:t>Telangiectasia</w:t>
      </w:r>
      <w:bookmarkEnd w:id="0"/>
      <w:proofErr w:type="spellEnd"/>
      <w:r>
        <w:rPr>
          <w:rFonts w:ascii="Times New Roman" w:hAnsi="Times New Roman" w:cs="Times New Roman"/>
          <w:b/>
          <w:sz w:val="32"/>
        </w:rPr>
        <w:t xml:space="preserve"> </w:t>
      </w:r>
    </w:p>
    <w:p w14:paraId="2007BDC5" w14:textId="77777777" w:rsidR="00B14418" w:rsidRPr="00DC3355" w:rsidRDefault="00B14418" w:rsidP="00B14418">
      <w:pPr>
        <w:jc w:val="both"/>
        <w:rPr>
          <w:rFonts w:ascii="Times New Roman" w:hAnsi="Times New Roman" w:cs="Times New Roman"/>
          <w:b/>
          <w:sz w:val="32"/>
        </w:rPr>
      </w:pPr>
    </w:p>
    <w:p w14:paraId="70097745" w14:textId="77777777" w:rsidR="00B14418" w:rsidRPr="00EC098F" w:rsidRDefault="00B14418" w:rsidP="00B14418">
      <w:pPr>
        <w:pStyle w:val="ListParagraph"/>
        <w:numPr>
          <w:ilvl w:val="0"/>
          <w:numId w:val="39"/>
        </w:numPr>
        <w:spacing w:after="160" w:line="259" w:lineRule="auto"/>
        <w:contextualSpacing/>
        <w:jc w:val="both"/>
        <w:rPr>
          <w:rFonts w:ascii="Times New Roman" w:hAnsi="Times New Roman"/>
          <w:b/>
        </w:rPr>
      </w:pPr>
      <w:r w:rsidRPr="00EC098F">
        <w:rPr>
          <w:rFonts w:ascii="Times New Roman" w:hAnsi="Times New Roman"/>
          <w:b/>
        </w:rPr>
        <w:t>Definiția clinică</w:t>
      </w:r>
    </w:p>
    <w:p w14:paraId="3631823C" w14:textId="6407E988" w:rsidR="00B14418" w:rsidRDefault="00B14418" w:rsidP="00B14418">
      <w:pPr>
        <w:jc w:val="both"/>
        <w:rPr>
          <w:rFonts w:ascii="Times New Roman" w:hAnsi="Times New Roman" w:cs="Times New Roman"/>
          <w:sz w:val="24"/>
        </w:rPr>
      </w:pPr>
      <w:r>
        <w:rPr>
          <w:rFonts w:ascii="Times New Roman" w:hAnsi="Times New Roman" w:cs="Times New Roman"/>
          <w:b/>
          <w:sz w:val="24"/>
        </w:rPr>
        <w:t xml:space="preserve">Ataxia </w:t>
      </w:r>
      <w:proofErr w:type="spellStart"/>
      <w:r>
        <w:rPr>
          <w:rFonts w:ascii="Times New Roman" w:hAnsi="Times New Roman" w:cs="Times New Roman"/>
          <w:b/>
          <w:sz w:val="24"/>
        </w:rPr>
        <w:t>Telangiectasia</w:t>
      </w:r>
      <w:proofErr w:type="spellEnd"/>
      <w:r>
        <w:rPr>
          <w:rFonts w:ascii="Times New Roman" w:hAnsi="Times New Roman" w:cs="Times New Roman"/>
          <w:b/>
          <w:sz w:val="24"/>
        </w:rPr>
        <w:t xml:space="preserve"> </w:t>
      </w:r>
      <w:r>
        <w:rPr>
          <w:rFonts w:ascii="Times New Roman" w:hAnsi="Times New Roman" w:cs="Times New Roman"/>
          <w:sz w:val="24"/>
        </w:rPr>
        <w:t xml:space="preserve">(anterior cunoscută ca sindromul Louis-Bar) reprezintă o imunodeficiență primară monogenică, a doua cea mai frecventă după febra </w:t>
      </w:r>
      <w:proofErr w:type="spellStart"/>
      <w:r>
        <w:rPr>
          <w:rFonts w:ascii="Times New Roman" w:hAnsi="Times New Roman" w:cs="Times New Roman"/>
          <w:sz w:val="24"/>
        </w:rPr>
        <w:t>mediteraneană</w:t>
      </w:r>
      <w:proofErr w:type="spellEnd"/>
      <w:r>
        <w:rPr>
          <w:rFonts w:ascii="Times New Roman" w:hAnsi="Times New Roman" w:cs="Times New Roman"/>
          <w:sz w:val="24"/>
        </w:rPr>
        <w:t xml:space="preserve"> familială, și include, pe lângă imunodeficiență, un spectru larg de manifestări clinice: ataxia cerebeloasă progresivă, </w:t>
      </w:r>
      <w:proofErr w:type="spellStart"/>
      <w:r>
        <w:rPr>
          <w:rFonts w:ascii="Times New Roman" w:hAnsi="Times New Roman" w:cs="Times New Roman"/>
          <w:sz w:val="24"/>
        </w:rPr>
        <w:t>teleangiectazii</w:t>
      </w:r>
      <w:proofErr w:type="spellEnd"/>
      <w:r>
        <w:rPr>
          <w:rFonts w:ascii="Times New Roman" w:hAnsi="Times New Roman" w:cs="Times New Roman"/>
          <w:sz w:val="24"/>
        </w:rPr>
        <w:t xml:space="preserve"> </w:t>
      </w:r>
      <w:proofErr w:type="spellStart"/>
      <w:r>
        <w:rPr>
          <w:rFonts w:ascii="Times New Roman" w:hAnsi="Times New Roman" w:cs="Times New Roman"/>
          <w:sz w:val="24"/>
        </w:rPr>
        <w:t>oculo</w:t>
      </w:r>
      <w:proofErr w:type="spellEnd"/>
      <w:r>
        <w:rPr>
          <w:rFonts w:ascii="Times New Roman" w:hAnsi="Times New Roman" w:cs="Times New Roman"/>
          <w:sz w:val="24"/>
        </w:rPr>
        <w:t>-cutanate, susceptibilitate la malignități și radiosensibilitate.</w:t>
      </w:r>
    </w:p>
    <w:p w14:paraId="1E9704BD" w14:textId="77777777" w:rsidR="00B14418" w:rsidRPr="002216CD" w:rsidRDefault="00B14418" w:rsidP="00B14418">
      <w:pPr>
        <w:jc w:val="both"/>
        <w:rPr>
          <w:rFonts w:ascii="Times New Roman" w:hAnsi="Times New Roman" w:cs="Times New Roman"/>
          <w:sz w:val="24"/>
        </w:rPr>
      </w:pPr>
    </w:p>
    <w:p w14:paraId="245E0E7E" w14:textId="77777777" w:rsidR="00B14418" w:rsidRPr="00EC098F" w:rsidRDefault="00B14418" w:rsidP="00B14418">
      <w:pPr>
        <w:pStyle w:val="ListParagraph"/>
        <w:numPr>
          <w:ilvl w:val="0"/>
          <w:numId w:val="39"/>
        </w:numPr>
        <w:spacing w:after="160" w:line="259" w:lineRule="auto"/>
        <w:contextualSpacing/>
        <w:jc w:val="both"/>
        <w:rPr>
          <w:rFonts w:ascii="Times New Roman" w:hAnsi="Times New Roman"/>
          <w:b/>
        </w:rPr>
      </w:pPr>
      <w:r w:rsidRPr="00EC098F">
        <w:rPr>
          <w:rFonts w:ascii="Times New Roman" w:hAnsi="Times New Roman"/>
          <w:b/>
        </w:rPr>
        <w:t>Frecvența bolii</w:t>
      </w:r>
    </w:p>
    <w:p w14:paraId="475EB151" w14:textId="229D8394"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reprezintă o boală genetică rară, cu prevalența în populația generală cuprinsă între 1:40.000 și 1:100.000. Fiind o boală cu transmitere </w:t>
      </w:r>
      <w:proofErr w:type="spellStart"/>
      <w:r>
        <w:rPr>
          <w:rFonts w:ascii="Times New Roman" w:hAnsi="Times New Roman" w:cs="Times New Roman"/>
          <w:sz w:val="24"/>
          <w:szCs w:val="24"/>
        </w:rPr>
        <w:t>autozomal</w:t>
      </w:r>
      <w:proofErr w:type="spellEnd"/>
      <w:r>
        <w:rPr>
          <w:rFonts w:ascii="Times New Roman" w:hAnsi="Times New Roman" w:cs="Times New Roman"/>
          <w:sz w:val="24"/>
          <w:szCs w:val="24"/>
        </w:rPr>
        <w:t xml:space="preserve"> recesivă, în anumite grupuri consangvine frecvența înregistrată a bolii este mult mai mare. </w:t>
      </w:r>
    </w:p>
    <w:p w14:paraId="0FCD9218" w14:textId="77777777" w:rsidR="00B14418" w:rsidRPr="00EC098F" w:rsidRDefault="00B14418" w:rsidP="00B14418">
      <w:pPr>
        <w:jc w:val="both"/>
        <w:rPr>
          <w:rFonts w:ascii="Times New Roman" w:hAnsi="Times New Roman" w:cs="Times New Roman"/>
          <w:sz w:val="24"/>
          <w:szCs w:val="24"/>
        </w:rPr>
      </w:pPr>
    </w:p>
    <w:p w14:paraId="16C55D73" w14:textId="77777777" w:rsidR="00B14418" w:rsidRDefault="00B14418" w:rsidP="00B14418">
      <w:pPr>
        <w:pStyle w:val="ListParagraph"/>
        <w:numPr>
          <w:ilvl w:val="0"/>
          <w:numId w:val="39"/>
        </w:numPr>
        <w:spacing w:after="160" w:line="259" w:lineRule="auto"/>
        <w:contextualSpacing/>
        <w:jc w:val="both"/>
        <w:rPr>
          <w:rFonts w:ascii="Times New Roman" w:hAnsi="Times New Roman"/>
          <w:b/>
        </w:rPr>
      </w:pPr>
      <w:r w:rsidRPr="00EC098F">
        <w:rPr>
          <w:rFonts w:ascii="Times New Roman" w:hAnsi="Times New Roman"/>
          <w:b/>
        </w:rPr>
        <w:t>Aspecte genetice</w:t>
      </w:r>
    </w:p>
    <w:p w14:paraId="2C9EC345" w14:textId="5C6A6794"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este o boală monogenică, cu transmitere </w:t>
      </w:r>
      <w:proofErr w:type="spellStart"/>
      <w:r>
        <w:rPr>
          <w:rFonts w:ascii="Times New Roman" w:hAnsi="Times New Roman" w:cs="Times New Roman"/>
          <w:sz w:val="24"/>
          <w:szCs w:val="24"/>
        </w:rPr>
        <w:t>autozomal</w:t>
      </w:r>
      <w:proofErr w:type="spellEnd"/>
      <w:r>
        <w:rPr>
          <w:rFonts w:ascii="Times New Roman" w:hAnsi="Times New Roman" w:cs="Times New Roman"/>
          <w:sz w:val="24"/>
          <w:szCs w:val="24"/>
        </w:rPr>
        <w:t xml:space="preserve"> recesivă. Pentru a dezvolta boala, sunt necesare câte o mutație în fiecare copie a genei </w:t>
      </w:r>
      <w:r>
        <w:rPr>
          <w:rFonts w:ascii="Times New Roman" w:hAnsi="Times New Roman" w:cs="Times New Roman"/>
          <w:i/>
          <w:sz w:val="24"/>
          <w:szCs w:val="24"/>
        </w:rPr>
        <w:t>ATM</w:t>
      </w:r>
      <w:r>
        <w:rPr>
          <w:rFonts w:ascii="Times New Roman" w:hAnsi="Times New Roman" w:cs="Times New Roman"/>
          <w:sz w:val="24"/>
          <w:szCs w:val="24"/>
        </w:rPr>
        <w:t xml:space="preserve"> (în total, sunt necesare 2 mutații, una în copia genei provenită de la mamă și una în copia genei provenită de la tată). De regulă, părinții copiilor afectați au doar o mutație în gena </w:t>
      </w:r>
      <w:r>
        <w:rPr>
          <w:rFonts w:ascii="Times New Roman" w:hAnsi="Times New Roman" w:cs="Times New Roman"/>
          <w:i/>
          <w:sz w:val="24"/>
          <w:szCs w:val="24"/>
        </w:rPr>
        <w:t>ATM</w:t>
      </w:r>
      <w:r>
        <w:rPr>
          <w:rFonts w:ascii="Times New Roman" w:hAnsi="Times New Roman" w:cs="Times New Roman"/>
          <w:sz w:val="24"/>
          <w:szCs w:val="24"/>
        </w:rPr>
        <w:t xml:space="preserve">, situație pe care o numim status de purtător. Purtătorii nu dezvoltă manifestările de boală, dar pot transmite mai departe mutația descendenților. În situația în care ambii părinți sunt purtători de mutații în gena </w:t>
      </w:r>
      <w:r>
        <w:rPr>
          <w:rFonts w:ascii="Times New Roman" w:hAnsi="Times New Roman" w:cs="Times New Roman"/>
          <w:i/>
          <w:sz w:val="24"/>
          <w:szCs w:val="24"/>
        </w:rPr>
        <w:t>ATM</w:t>
      </w:r>
      <w:r>
        <w:rPr>
          <w:rFonts w:ascii="Times New Roman" w:hAnsi="Times New Roman" w:cs="Times New Roman"/>
          <w:sz w:val="24"/>
          <w:szCs w:val="24"/>
        </w:rPr>
        <w:t xml:space="preserve">, riscul de a avea copii cu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este de 25% pentru fiecare sarcină. </w:t>
      </w:r>
    </w:p>
    <w:p w14:paraId="79146FD4" w14:textId="77777777" w:rsidR="00B14418" w:rsidRPr="00625551" w:rsidRDefault="00B14418" w:rsidP="00B14418">
      <w:pPr>
        <w:jc w:val="both"/>
        <w:rPr>
          <w:rFonts w:ascii="Times New Roman" w:hAnsi="Times New Roman" w:cs="Times New Roman"/>
          <w:sz w:val="24"/>
          <w:szCs w:val="24"/>
        </w:rPr>
      </w:pPr>
    </w:p>
    <w:p w14:paraId="61B5F446" w14:textId="77777777" w:rsidR="00B14418" w:rsidRDefault="00B14418" w:rsidP="00B14418">
      <w:pPr>
        <w:pStyle w:val="ListParagraph"/>
        <w:numPr>
          <w:ilvl w:val="0"/>
          <w:numId w:val="39"/>
        </w:numPr>
        <w:spacing w:after="160" w:line="259" w:lineRule="auto"/>
        <w:contextualSpacing/>
        <w:jc w:val="both"/>
        <w:rPr>
          <w:rFonts w:ascii="Times New Roman" w:hAnsi="Times New Roman"/>
          <w:b/>
        </w:rPr>
      </w:pPr>
      <w:r w:rsidRPr="001F0F36">
        <w:rPr>
          <w:rFonts w:ascii="Times New Roman" w:hAnsi="Times New Roman"/>
          <w:b/>
        </w:rPr>
        <w:t>Semne clinice</w:t>
      </w:r>
    </w:p>
    <w:p w14:paraId="1C6902D7" w14:textId="77777777"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La ora actuală, se cunosc mai multe forme de manifestare clinică în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Cea mai tipică formă este forma clasică de boală, care include</w:t>
      </w:r>
      <w:r w:rsidRPr="00394FB3">
        <w:rPr>
          <w:rFonts w:ascii="Times New Roman" w:hAnsi="Times New Roman" w:cs="Times New Roman"/>
          <w:sz w:val="24"/>
          <w:szCs w:val="24"/>
        </w:rPr>
        <w:t>:</w:t>
      </w:r>
    </w:p>
    <w:p w14:paraId="039EAAAE"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Tulburări ale mersului și echilibrului, cu ataxie a trunchiului, cu debut precoce (între vârsta de 1 an și 4 ani)</w:t>
      </w:r>
    </w:p>
    <w:p w14:paraId="79068E01"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Tulburări ale vorbirii și articulării cuvintelor</w:t>
      </w:r>
    </w:p>
    <w:p w14:paraId="0B82B06E"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 xml:space="preserve">Imposibilitatea de a urmări obiectele cu privirea (apraxia </w:t>
      </w:r>
      <w:proofErr w:type="spellStart"/>
      <w:r>
        <w:rPr>
          <w:rFonts w:ascii="Times New Roman" w:hAnsi="Times New Roman"/>
        </w:rPr>
        <w:t>oculomotorie</w:t>
      </w:r>
      <w:proofErr w:type="spellEnd"/>
      <w:r>
        <w:rPr>
          <w:rFonts w:ascii="Times New Roman" w:hAnsi="Times New Roman"/>
        </w:rPr>
        <w:t>)</w:t>
      </w:r>
    </w:p>
    <w:p w14:paraId="2FB72D60"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 xml:space="preserve">Infecții </w:t>
      </w:r>
      <w:proofErr w:type="spellStart"/>
      <w:r>
        <w:rPr>
          <w:rFonts w:ascii="Times New Roman" w:hAnsi="Times New Roman"/>
        </w:rPr>
        <w:t>sinopulmonare</w:t>
      </w:r>
      <w:proofErr w:type="spellEnd"/>
      <w:r>
        <w:rPr>
          <w:rFonts w:ascii="Times New Roman" w:hAnsi="Times New Roman"/>
        </w:rPr>
        <w:t xml:space="preserve"> repetate, ca urmare a imunodeficienței</w:t>
      </w:r>
    </w:p>
    <w:p w14:paraId="2154854F"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Traiecte vasculare dilatate la nivelul ochilor și zonelor tegumentare expuse la soare (</w:t>
      </w:r>
      <w:proofErr w:type="spellStart"/>
      <w:r>
        <w:rPr>
          <w:rFonts w:ascii="Times New Roman" w:hAnsi="Times New Roman"/>
        </w:rPr>
        <w:t>teleangiectazii</w:t>
      </w:r>
      <w:proofErr w:type="spellEnd"/>
      <w:r>
        <w:rPr>
          <w:rFonts w:ascii="Times New Roman" w:hAnsi="Times New Roman"/>
        </w:rPr>
        <w:t xml:space="preserve"> </w:t>
      </w:r>
      <w:proofErr w:type="spellStart"/>
      <w:r>
        <w:rPr>
          <w:rFonts w:ascii="Times New Roman" w:hAnsi="Times New Roman"/>
        </w:rPr>
        <w:t>oculocutanate</w:t>
      </w:r>
      <w:proofErr w:type="spellEnd"/>
      <w:r>
        <w:rPr>
          <w:rFonts w:ascii="Times New Roman" w:hAnsi="Times New Roman"/>
        </w:rPr>
        <w:t>)</w:t>
      </w:r>
    </w:p>
    <w:p w14:paraId="428ADB7A"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Susceptibilitate la dezvoltarea cancerelor (în special leucemii și limfoame)</w:t>
      </w:r>
    </w:p>
    <w:p w14:paraId="64129E80"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Insuficiență ovariană precoce și instalarea menopauzei înainte de 40 de ani, la femei</w:t>
      </w:r>
    </w:p>
    <w:p w14:paraId="395783C5" w14:textId="77777777" w:rsidR="00B14418" w:rsidRDefault="00B14418" w:rsidP="00B14418">
      <w:pPr>
        <w:pStyle w:val="ListParagraph"/>
        <w:numPr>
          <w:ilvl w:val="0"/>
          <w:numId w:val="40"/>
        </w:numPr>
        <w:spacing w:after="160" w:line="259" w:lineRule="auto"/>
        <w:contextualSpacing/>
        <w:jc w:val="both"/>
        <w:rPr>
          <w:rFonts w:ascii="Times New Roman" w:hAnsi="Times New Roman"/>
        </w:rPr>
      </w:pPr>
      <w:r>
        <w:rPr>
          <w:rFonts w:ascii="Times New Roman" w:hAnsi="Times New Roman"/>
        </w:rPr>
        <w:t>Semne de îmbătrânire prematură</w:t>
      </w:r>
    </w:p>
    <w:p w14:paraId="6D66EC4A" w14:textId="77777777"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Atât vârsta de instalare a primelor semne și simptome, cât și viteza de evoluție a bolii pot varia semnificativ, chiar și în cadrul aceleiași familii. Există și forme atipice de prezentare clinică, mai ușoare, cu debut mai târziu în viață, dar care sunt și mai dificil de depistat, în lipsa unei suspiciuni clinice înalte.</w:t>
      </w:r>
    </w:p>
    <w:p w14:paraId="2083B6EA" w14:textId="20131AC5"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Purtătorii (cei care prezintă doar o singură mutație în gena </w:t>
      </w:r>
      <w:r>
        <w:rPr>
          <w:rFonts w:ascii="Times New Roman" w:hAnsi="Times New Roman" w:cs="Times New Roman"/>
          <w:i/>
          <w:sz w:val="24"/>
          <w:szCs w:val="24"/>
        </w:rPr>
        <w:t>ATM</w:t>
      </w:r>
      <w:r>
        <w:rPr>
          <w:rFonts w:ascii="Times New Roman" w:hAnsi="Times New Roman" w:cs="Times New Roman"/>
          <w:sz w:val="24"/>
          <w:szCs w:val="24"/>
        </w:rPr>
        <w:t xml:space="preserve">) nu dezvoltă manifestările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dar prezintă un risc mai ridicat decât în populația generală de a dezvolta anumite forme de cancer (cancer mamar, cancer ovarian și cancer pancreatic). Astfel, un </w:t>
      </w:r>
      <w:r>
        <w:rPr>
          <w:rFonts w:ascii="Times New Roman" w:hAnsi="Times New Roman" w:cs="Times New Roman"/>
          <w:sz w:val="24"/>
          <w:szCs w:val="24"/>
        </w:rPr>
        <w:lastRenderedPageBreak/>
        <w:t xml:space="preserve">diagnostic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are impact atât asupra pacientului, cât și asupra familiei acestuia. </w:t>
      </w:r>
    </w:p>
    <w:p w14:paraId="17F6A9B2" w14:textId="77777777" w:rsidR="00B14418" w:rsidRPr="006A17BB" w:rsidRDefault="00B14418" w:rsidP="00B14418">
      <w:pPr>
        <w:jc w:val="both"/>
        <w:rPr>
          <w:rFonts w:ascii="Times New Roman" w:hAnsi="Times New Roman" w:cs="Times New Roman"/>
          <w:sz w:val="24"/>
          <w:szCs w:val="24"/>
        </w:rPr>
      </w:pPr>
    </w:p>
    <w:p w14:paraId="780CF55D" w14:textId="77777777" w:rsidR="00B14418" w:rsidRDefault="00B14418" w:rsidP="00B14418">
      <w:pPr>
        <w:pStyle w:val="ListParagraph"/>
        <w:numPr>
          <w:ilvl w:val="0"/>
          <w:numId w:val="39"/>
        </w:numPr>
        <w:spacing w:after="160" w:line="259" w:lineRule="auto"/>
        <w:contextualSpacing/>
        <w:jc w:val="both"/>
        <w:rPr>
          <w:rFonts w:ascii="Times New Roman" w:hAnsi="Times New Roman"/>
          <w:b/>
        </w:rPr>
      </w:pPr>
      <w:r w:rsidRPr="00FF076A">
        <w:rPr>
          <w:rFonts w:ascii="Times New Roman" w:hAnsi="Times New Roman"/>
          <w:b/>
        </w:rPr>
        <w:t>Stabilirea diagnosticului. Metode de diagnostic</w:t>
      </w:r>
    </w:p>
    <w:p w14:paraId="242DE021" w14:textId="6CD8D8FE"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Diagnosticul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se realizează prin testare genetică, care pune în evidență existența a două mutații în gena </w:t>
      </w:r>
      <w:r>
        <w:rPr>
          <w:rFonts w:ascii="Times New Roman" w:hAnsi="Times New Roman" w:cs="Times New Roman"/>
          <w:i/>
          <w:sz w:val="24"/>
          <w:szCs w:val="24"/>
        </w:rPr>
        <w:t>ATM</w:t>
      </w:r>
      <w:r>
        <w:rPr>
          <w:rFonts w:ascii="Times New Roman" w:hAnsi="Times New Roman" w:cs="Times New Roman"/>
          <w:sz w:val="24"/>
          <w:szCs w:val="24"/>
        </w:rPr>
        <w:t xml:space="preserve">. Un alt test diagnostic care poate fi utilizat este </w:t>
      </w:r>
      <w:proofErr w:type="spellStart"/>
      <w:r>
        <w:rPr>
          <w:rFonts w:ascii="Times New Roman" w:hAnsi="Times New Roman" w:cs="Times New Roman"/>
          <w:sz w:val="24"/>
          <w:szCs w:val="24"/>
        </w:rPr>
        <w:t>immunoblottingul</w:t>
      </w:r>
      <w:proofErr w:type="spellEnd"/>
      <w:r>
        <w:rPr>
          <w:rFonts w:ascii="Times New Roman" w:hAnsi="Times New Roman" w:cs="Times New Roman"/>
          <w:sz w:val="24"/>
          <w:szCs w:val="24"/>
        </w:rPr>
        <w:t>, care pune în evidență un nivel scăzut sau absent al proteinei ATM. Acest din urmă test este util mai ales în situația în care testarea genetică returnează un rezultat incert sau identifică doar o singură mutație. Alte investigații de laborator complementare sunt alfa-</w:t>
      </w:r>
      <w:proofErr w:type="spellStart"/>
      <w:r>
        <w:rPr>
          <w:rFonts w:ascii="Times New Roman" w:hAnsi="Times New Roman" w:cs="Times New Roman"/>
          <w:sz w:val="24"/>
          <w:szCs w:val="24"/>
        </w:rPr>
        <w:t>fetoproteina</w:t>
      </w:r>
      <w:proofErr w:type="spellEnd"/>
      <w:r>
        <w:rPr>
          <w:rFonts w:ascii="Times New Roman" w:hAnsi="Times New Roman" w:cs="Times New Roman"/>
          <w:sz w:val="24"/>
          <w:szCs w:val="24"/>
        </w:rPr>
        <w:t xml:space="preserve"> serică crescută, titru scăzut al imunoglobulinelor (</w:t>
      </w:r>
      <w:proofErr w:type="spellStart"/>
      <w:r>
        <w:rPr>
          <w:rFonts w:ascii="Times New Roman" w:hAnsi="Times New Roman" w:cs="Times New Roman"/>
          <w:sz w:val="24"/>
          <w:szCs w:val="24"/>
        </w:rPr>
        <w:t>IgG</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IgA</w:t>
      </w:r>
      <w:proofErr w:type="spellEnd"/>
      <w:r>
        <w:rPr>
          <w:rFonts w:ascii="Times New Roman" w:hAnsi="Times New Roman" w:cs="Times New Roman"/>
          <w:sz w:val="24"/>
          <w:szCs w:val="24"/>
        </w:rPr>
        <w:t xml:space="preserve">) și </w:t>
      </w:r>
      <w:proofErr w:type="spellStart"/>
      <w:r>
        <w:rPr>
          <w:rFonts w:ascii="Times New Roman" w:hAnsi="Times New Roman" w:cs="Times New Roman"/>
          <w:sz w:val="24"/>
          <w:szCs w:val="24"/>
        </w:rPr>
        <w:t>cariotipul</w:t>
      </w:r>
      <w:proofErr w:type="spellEnd"/>
      <w:r>
        <w:rPr>
          <w:rFonts w:ascii="Times New Roman" w:hAnsi="Times New Roman" w:cs="Times New Roman"/>
          <w:sz w:val="24"/>
          <w:szCs w:val="24"/>
        </w:rPr>
        <w:t xml:space="preserve"> din limfocitele periferice stimulate cu </w:t>
      </w:r>
      <w:proofErr w:type="spellStart"/>
      <w:r>
        <w:rPr>
          <w:rFonts w:ascii="Times New Roman" w:hAnsi="Times New Roman" w:cs="Times New Roman"/>
          <w:sz w:val="24"/>
          <w:szCs w:val="24"/>
        </w:rPr>
        <w:t>fitohemaglutinină</w:t>
      </w:r>
      <w:proofErr w:type="spellEnd"/>
      <w:r>
        <w:rPr>
          <w:rFonts w:ascii="Times New Roman" w:hAnsi="Times New Roman" w:cs="Times New Roman"/>
          <w:sz w:val="24"/>
          <w:szCs w:val="24"/>
        </w:rPr>
        <w:t xml:space="preserve"> care poate evidenția translocații (tipic, între cromozomii 7 și 14).</w:t>
      </w:r>
    </w:p>
    <w:p w14:paraId="5609857A" w14:textId="77777777" w:rsidR="00B14418" w:rsidRPr="001B2CAF" w:rsidRDefault="00B14418" w:rsidP="00B14418">
      <w:pPr>
        <w:jc w:val="both"/>
        <w:rPr>
          <w:rFonts w:ascii="Times New Roman" w:hAnsi="Times New Roman" w:cs="Times New Roman"/>
          <w:sz w:val="24"/>
          <w:szCs w:val="24"/>
        </w:rPr>
      </w:pPr>
    </w:p>
    <w:p w14:paraId="0EFC28D5" w14:textId="77777777" w:rsidR="00B14418" w:rsidRPr="00533948" w:rsidRDefault="00B14418" w:rsidP="00B14418">
      <w:pPr>
        <w:pStyle w:val="ListParagraph"/>
        <w:numPr>
          <w:ilvl w:val="0"/>
          <w:numId w:val="39"/>
        </w:numPr>
        <w:spacing w:after="160" w:line="259" w:lineRule="auto"/>
        <w:contextualSpacing/>
        <w:jc w:val="both"/>
        <w:rPr>
          <w:rFonts w:ascii="Times New Roman" w:hAnsi="Times New Roman"/>
          <w:b/>
        </w:rPr>
      </w:pPr>
      <w:r w:rsidRPr="00D23492">
        <w:rPr>
          <w:rFonts w:ascii="Times New Roman" w:hAnsi="Times New Roman"/>
          <w:b/>
        </w:rPr>
        <w:t>Sfat genetic.</w:t>
      </w:r>
    </w:p>
    <w:p w14:paraId="7AB73ADB" w14:textId="4652873D"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este o boală cu transmitere </w:t>
      </w:r>
      <w:proofErr w:type="spellStart"/>
      <w:r>
        <w:rPr>
          <w:rFonts w:ascii="Times New Roman" w:hAnsi="Times New Roman" w:cs="Times New Roman"/>
          <w:sz w:val="24"/>
          <w:szCs w:val="24"/>
        </w:rPr>
        <w:t>autozomal</w:t>
      </w:r>
      <w:proofErr w:type="spellEnd"/>
      <w:r>
        <w:rPr>
          <w:rFonts w:ascii="Times New Roman" w:hAnsi="Times New Roman" w:cs="Times New Roman"/>
          <w:sz w:val="24"/>
          <w:szCs w:val="24"/>
        </w:rPr>
        <w:t xml:space="preserve"> recesivă. În familiile în care un copil este diagnosticat cu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părinții sunt purtători de mutații în gena </w:t>
      </w:r>
      <w:r>
        <w:rPr>
          <w:rFonts w:ascii="Times New Roman" w:hAnsi="Times New Roman" w:cs="Times New Roman"/>
          <w:i/>
          <w:sz w:val="24"/>
          <w:szCs w:val="24"/>
        </w:rPr>
        <w:t>ATM</w:t>
      </w:r>
      <w:r>
        <w:rPr>
          <w:rFonts w:ascii="Times New Roman" w:hAnsi="Times New Roman" w:cs="Times New Roman"/>
          <w:sz w:val="24"/>
          <w:szCs w:val="24"/>
        </w:rPr>
        <w:t>. Purtătorii nu prezintă stigmatele bolii, ci doar un risc mai mare de a dezvolta anumite forme de cancer (mamar, ovarian, pancreatic) și, se pare, o predispoziție la a dezvolta boală coronariană ischemică și deces precoce de cauză cardiovasculară.</w:t>
      </w:r>
      <w:r>
        <w:rPr>
          <w:rFonts w:ascii="Times New Roman" w:hAnsi="Times New Roman" w:cs="Times New Roman"/>
          <w:i/>
          <w:sz w:val="24"/>
          <w:szCs w:val="24"/>
        </w:rPr>
        <w:t xml:space="preserve"> </w:t>
      </w:r>
      <w:r>
        <w:rPr>
          <w:rFonts w:ascii="Times New Roman" w:hAnsi="Times New Roman" w:cs="Times New Roman"/>
          <w:sz w:val="24"/>
          <w:szCs w:val="24"/>
        </w:rPr>
        <w:t xml:space="preserve">Pentru fiecare sarcină a unui cuplu de purtători, riscul de a avea copii cu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cu fiecare sarcină, este de 25%. De obicei, pacienții afectați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nu au descendenți. Totuși, situații mai rare de acest fel au fost descrise. În lipsa unui caz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în familie, statusul de purtător poate fi descoperit, de exemplu, prin testare genetică în contextul unei agregări de cancere în familie. O altă situație în care poate fi detectat statusul de purtător este prin efectuarea unor teste genetice speciale destinate cuplurilor care doresc să procreeze și care detectează mutațiile părinților care au potențial de a fi transmise descendenților.</w:t>
      </w:r>
    </w:p>
    <w:p w14:paraId="671B1AE8" w14:textId="77777777" w:rsidR="00B14418" w:rsidRDefault="00B14418" w:rsidP="00B14418">
      <w:pPr>
        <w:jc w:val="both"/>
        <w:rPr>
          <w:rFonts w:ascii="Times New Roman" w:hAnsi="Times New Roman" w:cs="Times New Roman"/>
          <w:sz w:val="24"/>
          <w:szCs w:val="24"/>
        </w:rPr>
      </w:pPr>
    </w:p>
    <w:p w14:paraId="6259EEB3" w14:textId="77777777" w:rsidR="00B14418" w:rsidRPr="004948A7" w:rsidRDefault="00B14418" w:rsidP="00B14418">
      <w:pPr>
        <w:pStyle w:val="ListParagraph"/>
        <w:numPr>
          <w:ilvl w:val="0"/>
          <w:numId w:val="39"/>
        </w:numPr>
        <w:spacing w:after="160" w:line="259" w:lineRule="auto"/>
        <w:contextualSpacing/>
        <w:jc w:val="both"/>
        <w:rPr>
          <w:rFonts w:ascii="Times New Roman" w:hAnsi="Times New Roman"/>
        </w:rPr>
      </w:pPr>
      <w:r w:rsidRPr="004948A7">
        <w:rPr>
          <w:rFonts w:ascii="Times New Roman" w:hAnsi="Times New Roman"/>
          <w:b/>
        </w:rPr>
        <w:t>Diagnostic prenatal.</w:t>
      </w:r>
    </w:p>
    <w:p w14:paraId="2F272EB5" w14:textId="15E417C4" w:rsidR="00B14418" w:rsidRDefault="00B14418" w:rsidP="00B14418">
      <w:pPr>
        <w:jc w:val="both"/>
        <w:rPr>
          <w:rFonts w:ascii="Times New Roman" w:hAnsi="Times New Roman" w:cs="Times New Roman"/>
          <w:sz w:val="24"/>
          <w:szCs w:val="24"/>
        </w:rPr>
      </w:pPr>
      <w:r w:rsidRPr="003E086C">
        <w:rPr>
          <w:rFonts w:ascii="Times New Roman" w:hAnsi="Times New Roman" w:cs="Times New Roman"/>
          <w:sz w:val="24"/>
          <w:szCs w:val="24"/>
        </w:rPr>
        <w:t>În mod ideal, stabilirea statusului de</w:t>
      </w:r>
      <w:r>
        <w:rPr>
          <w:rFonts w:ascii="Times New Roman" w:hAnsi="Times New Roman" w:cs="Times New Roman"/>
          <w:sz w:val="24"/>
          <w:szCs w:val="24"/>
        </w:rPr>
        <w:t xml:space="preserve"> purtător ar trebui să se realizeze în etapa de planificare a sarcinii, printr-o vizită la medicul genetician. Consultul genetic este cu atât mai important cu cât unul dintre parteneri este cunoscut deja cu o mutație în gena </w:t>
      </w:r>
      <w:r>
        <w:rPr>
          <w:rFonts w:ascii="Times New Roman" w:hAnsi="Times New Roman" w:cs="Times New Roman"/>
          <w:i/>
          <w:sz w:val="24"/>
          <w:szCs w:val="24"/>
        </w:rPr>
        <w:t>ATM</w:t>
      </w:r>
      <w:r>
        <w:rPr>
          <w:rFonts w:ascii="Times New Roman" w:hAnsi="Times New Roman" w:cs="Times New Roman"/>
          <w:sz w:val="24"/>
          <w:szCs w:val="24"/>
        </w:rPr>
        <w:t xml:space="preserve">, există deja cazuri de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în familie, există eșecuri reproductive inexplicabile în cuplu, sau relația dintre parteneri este cu un grad mai ridicat de consangvinitate. Dacă în familie este cunoscută prezența bolii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sau este cunoscut că cel puțin unul dintre parteneri este purtător, atât diagnosticul prenatal, cât și cel </w:t>
      </w:r>
      <w:proofErr w:type="spellStart"/>
      <w:r>
        <w:rPr>
          <w:rFonts w:ascii="Times New Roman" w:hAnsi="Times New Roman" w:cs="Times New Roman"/>
          <w:sz w:val="24"/>
          <w:szCs w:val="24"/>
        </w:rPr>
        <w:t>preimplantațional</w:t>
      </w:r>
      <w:proofErr w:type="spellEnd"/>
      <w:r>
        <w:rPr>
          <w:rFonts w:ascii="Times New Roman" w:hAnsi="Times New Roman" w:cs="Times New Roman"/>
          <w:sz w:val="24"/>
          <w:szCs w:val="24"/>
        </w:rPr>
        <w:t xml:space="preserve"> sunt tehnic posibile. Diagnosticul </w:t>
      </w:r>
      <w:proofErr w:type="spellStart"/>
      <w:r>
        <w:rPr>
          <w:rFonts w:ascii="Times New Roman" w:hAnsi="Times New Roman" w:cs="Times New Roman"/>
          <w:sz w:val="24"/>
          <w:szCs w:val="24"/>
        </w:rPr>
        <w:t>preimplantațional</w:t>
      </w:r>
      <w:proofErr w:type="spellEnd"/>
      <w:r>
        <w:rPr>
          <w:rFonts w:ascii="Times New Roman" w:hAnsi="Times New Roman" w:cs="Times New Roman"/>
          <w:sz w:val="24"/>
          <w:szCs w:val="24"/>
        </w:rPr>
        <w:t xml:space="preserve"> se realizează înaintea obținerii unei sarcini, atunci când se apelează la tehnica fertilizării in vitro. Practic, se testează genetic un număr limitat de celule din embrionii care urmează să fie implantați în uterul matern, în vederea depistării unei mutații de interes. Diagnosticul prenatal se realizează în momentul în care a fost deja obținută o sarcină, fie din vilozitățile coriale, fie din celulele fetale prezente în lichidul amniotic. </w:t>
      </w:r>
    </w:p>
    <w:p w14:paraId="6A7079BD" w14:textId="77777777" w:rsidR="00B14418" w:rsidRPr="003E086C" w:rsidRDefault="00B14418" w:rsidP="00B14418">
      <w:pPr>
        <w:jc w:val="both"/>
        <w:rPr>
          <w:rFonts w:ascii="Times New Roman" w:hAnsi="Times New Roman" w:cs="Times New Roman"/>
          <w:sz w:val="24"/>
          <w:szCs w:val="24"/>
        </w:rPr>
      </w:pPr>
    </w:p>
    <w:p w14:paraId="0D379BE4" w14:textId="77777777" w:rsidR="00B14418" w:rsidRPr="006D7F02" w:rsidRDefault="00B14418" w:rsidP="00B14418">
      <w:pPr>
        <w:pStyle w:val="ListParagraph"/>
        <w:numPr>
          <w:ilvl w:val="0"/>
          <w:numId w:val="39"/>
        </w:numPr>
        <w:spacing w:after="160" w:line="259" w:lineRule="auto"/>
        <w:contextualSpacing/>
        <w:jc w:val="both"/>
        <w:rPr>
          <w:rFonts w:ascii="Times New Roman" w:hAnsi="Times New Roman"/>
          <w:b/>
        </w:rPr>
      </w:pPr>
      <w:r w:rsidRPr="00D23492">
        <w:rPr>
          <w:rFonts w:ascii="Times New Roman" w:hAnsi="Times New Roman"/>
          <w:b/>
        </w:rPr>
        <w:t>Evoluție și prognostic.</w:t>
      </w:r>
    </w:p>
    <w:p w14:paraId="29642DE8" w14:textId="77FB490F" w:rsidR="00B14418"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Prognosticul pacienților cu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este, în general, rezervat. Vârsta mediană de supraviețuire este de 25 de ani. Supraviețuirea poate fi mai îndelungată în formele non-clasice </w:t>
      </w:r>
      <w:r>
        <w:rPr>
          <w:rFonts w:ascii="Times New Roman" w:hAnsi="Times New Roman" w:cs="Times New Roman"/>
          <w:sz w:val="24"/>
          <w:szCs w:val="24"/>
        </w:rPr>
        <w:lastRenderedPageBreak/>
        <w:t xml:space="preserve">de boală. Principalele cauze de morbiditate și mortalitate în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sunt boala cronică pulmonară și </w:t>
      </w:r>
      <w:proofErr w:type="spellStart"/>
      <w:r>
        <w:rPr>
          <w:rFonts w:ascii="Times New Roman" w:hAnsi="Times New Roman" w:cs="Times New Roman"/>
          <w:sz w:val="24"/>
          <w:szCs w:val="24"/>
        </w:rPr>
        <w:t>malignitățile</w:t>
      </w:r>
      <w:proofErr w:type="spellEnd"/>
      <w:r>
        <w:rPr>
          <w:rFonts w:ascii="Times New Roman" w:hAnsi="Times New Roman" w:cs="Times New Roman"/>
          <w:sz w:val="24"/>
          <w:szCs w:val="24"/>
        </w:rPr>
        <w:t xml:space="preserve">. </w:t>
      </w:r>
    </w:p>
    <w:p w14:paraId="7E2EB8E2" w14:textId="77777777" w:rsidR="00B14418" w:rsidRPr="001C1B51" w:rsidRDefault="00B14418" w:rsidP="00B14418">
      <w:pPr>
        <w:jc w:val="both"/>
        <w:rPr>
          <w:rFonts w:ascii="Times New Roman" w:hAnsi="Times New Roman" w:cs="Times New Roman"/>
          <w:sz w:val="24"/>
          <w:szCs w:val="24"/>
        </w:rPr>
      </w:pPr>
    </w:p>
    <w:p w14:paraId="0341D9FA" w14:textId="77777777" w:rsidR="00B14418" w:rsidRDefault="00B14418" w:rsidP="00B14418">
      <w:pPr>
        <w:pStyle w:val="ListParagraph"/>
        <w:numPr>
          <w:ilvl w:val="0"/>
          <w:numId w:val="39"/>
        </w:numPr>
        <w:spacing w:after="160" w:line="259" w:lineRule="auto"/>
        <w:contextualSpacing/>
        <w:jc w:val="both"/>
        <w:rPr>
          <w:rFonts w:ascii="Times New Roman" w:hAnsi="Times New Roman"/>
          <w:b/>
        </w:rPr>
      </w:pPr>
      <w:r w:rsidRPr="000E6C6D">
        <w:rPr>
          <w:rFonts w:ascii="Times New Roman" w:hAnsi="Times New Roman"/>
          <w:b/>
        </w:rPr>
        <w:t>Posibilități de tratament, îngrijire și urmărire.</w:t>
      </w:r>
    </w:p>
    <w:p w14:paraId="1054043F" w14:textId="77777777" w:rsidR="00B14418" w:rsidRPr="00701103" w:rsidRDefault="00B14418" w:rsidP="00B14418">
      <w:pPr>
        <w:jc w:val="both"/>
        <w:rPr>
          <w:rFonts w:ascii="Times New Roman" w:hAnsi="Times New Roman" w:cs="Times New Roman"/>
          <w:sz w:val="24"/>
          <w:szCs w:val="24"/>
        </w:rPr>
      </w:pPr>
      <w:r>
        <w:rPr>
          <w:rFonts w:ascii="Times New Roman" w:hAnsi="Times New Roman" w:cs="Times New Roman"/>
          <w:sz w:val="24"/>
          <w:szCs w:val="24"/>
        </w:rPr>
        <w:t xml:space="preserve">La ora actuală, nu există un tratament etiologic în Ataxia </w:t>
      </w:r>
      <w:proofErr w:type="spellStart"/>
      <w:r>
        <w:rPr>
          <w:rFonts w:ascii="Times New Roman" w:hAnsi="Times New Roman" w:cs="Times New Roman"/>
          <w:sz w:val="24"/>
          <w:szCs w:val="24"/>
        </w:rPr>
        <w:t>Telangiectasia</w:t>
      </w:r>
      <w:proofErr w:type="spellEnd"/>
      <w:r>
        <w:rPr>
          <w:rFonts w:ascii="Times New Roman" w:hAnsi="Times New Roman" w:cs="Times New Roman"/>
          <w:sz w:val="24"/>
          <w:szCs w:val="24"/>
        </w:rPr>
        <w:t xml:space="preserve">. Mijloacele de tratament se adresează complicațiilor bolii, fără a exista modalități eficiente prin care evoluția să fie încetinită sau stopată. Pentru tulburările de ordin neurologic, se pot utiliza agenți farmacologici și terapii de recuperare. Pentru componenta de </w:t>
      </w:r>
      <w:proofErr w:type="spellStart"/>
      <w:r>
        <w:rPr>
          <w:rFonts w:ascii="Times New Roman" w:hAnsi="Times New Roman" w:cs="Times New Roman"/>
          <w:sz w:val="24"/>
          <w:szCs w:val="24"/>
        </w:rPr>
        <w:t>imundeficiență</w:t>
      </w:r>
      <w:proofErr w:type="spellEnd"/>
      <w:r>
        <w:rPr>
          <w:rFonts w:ascii="Times New Roman" w:hAnsi="Times New Roman" w:cs="Times New Roman"/>
          <w:sz w:val="24"/>
          <w:szCs w:val="24"/>
        </w:rPr>
        <w:t xml:space="preserve"> umorală, se pot administra imunoglobuline intravenos. Profilaxia prin vaccinare și tratamentul antibiotic judicios sunt strategii bine de urmat. Expunerea la radiații ionizante trebuie limitată pe cât posibil, dată fiind radiosensibilitatea acestor pacienți. Terapia cu antioxidanți de tipul vitaminei E și acidului alfa-lipoic pot avea rezultate bune în ameliorarea disfuncției mitocondriale prezentă la acești pacienți.</w:t>
      </w:r>
    </w:p>
    <w:p w14:paraId="02338FC1" w14:textId="77777777" w:rsidR="00B14418" w:rsidRPr="00701103" w:rsidRDefault="00B14418" w:rsidP="00B14418">
      <w:pPr>
        <w:jc w:val="both"/>
        <w:rPr>
          <w:rFonts w:ascii="Times New Roman" w:hAnsi="Times New Roman" w:cs="Times New Roman"/>
          <w:sz w:val="24"/>
          <w:szCs w:val="24"/>
        </w:rPr>
      </w:pPr>
    </w:p>
    <w:p w14:paraId="16E06C2B" w14:textId="3AA2722E" w:rsidR="00FC6D43" w:rsidRPr="0094467A" w:rsidRDefault="00FC6D43" w:rsidP="00B14418">
      <w:pPr>
        <w:jc w:val="center"/>
        <w:rPr>
          <w:rFonts w:cs="Arial"/>
          <w:sz w:val="20"/>
          <w:szCs w:val="20"/>
        </w:rPr>
      </w:pPr>
    </w:p>
    <w:sectPr w:rsidR="00FC6D43" w:rsidRPr="0094467A" w:rsidSect="00FC6D43">
      <w:headerReference w:type="default" r:id="rId8"/>
      <w:pgSz w:w="11906" w:h="16838" w:code="9"/>
      <w:pgMar w:top="1699" w:right="850" w:bottom="850" w:left="1710" w:header="1138" w:footer="61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8A224" w14:textId="77777777" w:rsidR="00A16AE7" w:rsidRDefault="00A16AE7" w:rsidP="00D77B96">
      <w:pPr>
        <w:spacing w:line="240" w:lineRule="auto"/>
      </w:pPr>
      <w:r>
        <w:separator/>
      </w:r>
    </w:p>
  </w:endnote>
  <w:endnote w:type="continuationSeparator" w:id="0">
    <w:p w14:paraId="64E7362D" w14:textId="77777777" w:rsidR="00A16AE7" w:rsidRDefault="00A16AE7"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B8531" w14:textId="77777777" w:rsidR="00A16AE7" w:rsidRDefault="00A16AE7" w:rsidP="00D77B96">
      <w:pPr>
        <w:spacing w:line="240" w:lineRule="auto"/>
      </w:pPr>
      <w:r>
        <w:separator/>
      </w:r>
    </w:p>
  </w:footnote>
  <w:footnote w:type="continuationSeparator" w:id="0">
    <w:p w14:paraId="7C3E410F" w14:textId="77777777" w:rsidR="00A16AE7" w:rsidRDefault="00A16AE7"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540A5F" w:rsidRPr="008C7A39" w:rsidRDefault="00540A5F">
    <w:pPr>
      <w:pStyle w:val="Header"/>
      <w:rPr>
        <w:i/>
        <w:iCs/>
      </w:rPr>
    </w:pPr>
    <w:r>
      <w:rPr>
        <w:i/>
        <w:iCs/>
        <w:noProof/>
        <w:lang w:val="en-US"/>
      </w:rPr>
      <w:drawing>
        <wp:anchor distT="0" distB="0" distL="114300" distR="114300" simplePos="0" relativeHeight="251658240" behindDoc="1" locked="0" layoutInCell="1" allowOverlap="1" wp14:anchorId="56EE97D1" wp14:editId="1893D268">
          <wp:simplePos x="0" y="0"/>
          <wp:positionH relativeFrom="page">
            <wp:align>left</wp:align>
          </wp:positionH>
          <wp:positionV relativeFrom="page">
            <wp:align>top</wp:align>
          </wp:positionV>
          <wp:extent cx="7558560" cy="106916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439"/>
    <w:multiLevelType w:val="multilevel"/>
    <w:tmpl w:val="FE1624E6"/>
    <w:lvl w:ilvl="0">
      <w:start w:val="1"/>
      <w:numFmt w:val="decimal"/>
      <w:lvlText w:val="%1."/>
      <w:lvlJc w:val="left"/>
      <w:pPr>
        <w:tabs>
          <w:tab w:val="num" w:pos="360"/>
        </w:tabs>
        <w:ind w:left="360" w:hanging="360"/>
      </w:pPr>
      <w:rPr>
        <w:rFonts w:hint="default"/>
        <w:b/>
        <w:sz w:val="24"/>
      </w:rPr>
    </w:lvl>
    <w:lvl w:ilvl="1">
      <w:start w:val="1"/>
      <w:numFmt w:val="decimal"/>
      <w:lvlText w:val="%1.%2."/>
      <w:lvlJc w:val="left"/>
      <w:pPr>
        <w:tabs>
          <w:tab w:val="num" w:pos="948"/>
        </w:tabs>
        <w:ind w:left="948" w:hanging="720"/>
      </w:pPr>
      <w:rPr>
        <w:rFonts w:ascii="Times New Roman" w:hAnsi="Times New Roman" w:cs="Times New Roman" w:hint="default"/>
        <w:b/>
        <w:i w:val="0"/>
        <w:sz w:val="24"/>
        <w:szCs w:val="24"/>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3C0A16"/>
    <w:multiLevelType w:val="multilevel"/>
    <w:tmpl w:val="5EC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279"/>
    <w:multiLevelType w:val="multilevel"/>
    <w:tmpl w:val="F00C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52AC9"/>
    <w:multiLevelType w:val="hybridMultilevel"/>
    <w:tmpl w:val="402C5C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DD6DAB"/>
    <w:multiLevelType w:val="hybridMultilevel"/>
    <w:tmpl w:val="11C06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B552C"/>
    <w:multiLevelType w:val="hybridMultilevel"/>
    <w:tmpl w:val="86D2B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421DE"/>
    <w:multiLevelType w:val="hybridMultilevel"/>
    <w:tmpl w:val="31FE4E0C"/>
    <w:lvl w:ilvl="0" w:tplc="8342F80E">
      <w:start w:val="1"/>
      <w:numFmt w:val="decimal"/>
      <w:lvlText w:val="%1."/>
      <w:lvlJc w:val="left"/>
      <w:pPr>
        <w:tabs>
          <w:tab w:val="num" w:pos="720"/>
        </w:tabs>
        <w:ind w:left="720" w:hanging="360"/>
      </w:pPr>
      <w:rPr>
        <w:b/>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7" w15:restartNumberingAfterBreak="0">
    <w:nsid w:val="21C77F9E"/>
    <w:multiLevelType w:val="hybridMultilevel"/>
    <w:tmpl w:val="CDE46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6B058B"/>
    <w:multiLevelType w:val="hybridMultilevel"/>
    <w:tmpl w:val="86643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14BD1"/>
    <w:multiLevelType w:val="hybridMultilevel"/>
    <w:tmpl w:val="ADD0B4D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3A4BAF"/>
    <w:multiLevelType w:val="hybridMultilevel"/>
    <w:tmpl w:val="C1F0A6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D140F"/>
    <w:multiLevelType w:val="hybridMultilevel"/>
    <w:tmpl w:val="6D107A6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2B895FA3"/>
    <w:multiLevelType w:val="hybridMultilevel"/>
    <w:tmpl w:val="519891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022555F"/>
    <w:multiLevelType w:val="hybridMultilevel"/>
    <w:tmpl w:val="BE1CAD66"/>
    <w:lvl w:ilvl="0" w:tplc="7D56C818">
      <w:start w:val="1"/>
      <w:numFmt w:val="decimal"/>
      <w:lvlText w:val="%1."/>
      <w:lvlJc w:val="left"/>
      <w:pPr>
        <w:ind w:left="720" w:hanging="360"/>
      </w:pPr>
      <w:rPr>
        <w:rFonts w:ascii="Times New Roman" w:eastAsiaTheme="minorHAnsi"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60D"/>
    <w:multiLevelType w:val="hybridMultilevel"/>
    <w:tmpl w:val="FB26792E"/>
    <w:lvl w:ilvl="0" w:tplc="481A943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6EC44BE"/>
    <w:multiLevelType w:val="hybridMultilevel"/>
    <w:tmpl w:val="F438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46128B"/>
    <w:multiLevelType w:val="hybridMultilevel"/>
    <w:tmpl w:val="4F3AC816"/>
    <w:lvl w:ilvl="0" w:tplc="70ECAB04">
      <w:start w:val="1"/>
      <w:numFmt w:val="decimal"/>
      <w:lvlText w:val="%1."/>
      <w:lvlJc w:val="left"/>
      <w:pPr>
        <w:ind w:left="720" w:hanging="360"/>
      </w:pPr>
      <w:rPr>
        <w:rFonts w:ascii="Trebuchet MS" w:eastAsia="Times New Roman" w:hAnsi="Trebuchet M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8710DE6"/>
    <w:multiLevelType w:val="multilevel"/>
    <w:tmpl w:val="B23A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34502"/>
    <w:multiLevelType w:val="hybridMultilevel"/>
    <w:tmpl w:val="4118C43C"/>
    <w:lvl w:ilvl="0" w:tplc="F6D6263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E97574"/>
    <w:multiLevelType w:val="multilevel"/>
    <w:tmpl w:val="092054EE"/>
    <w:numStyleLink w:val="ListBullets"/>
  </w:abstractNum>
  <w:abstractNum w:abstractNumId="20" w15:restartNumberingAfterBreak="0">
    <w:nsid w:val="3E993159"/>
    <w:multiLevelType w:val="hybridMultilevel"/>
    <w:tmpl w:val="CB586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27D90"/>
    <w:multiLevelType w:val="multilevel"/>
    <w:tmpl w:val="BFE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F15C0"/>
    <w:multiLevelType w:val="hybridMultilevel"/>
    <w:tmpl w:val="5AB675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4774EDB"/>
    <w:multiLevelType w:val="multilevel"/>
    <w:tmpl w:val="D19E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31431"/>
    <w:multiLevelType w:val="hybridMultilevel"/>
    <w:tmpl w:val="8A880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08372B"/>
    <w:multiLevelType w:val="multilevel"/>
    <w:tmpl w:val="092054EE"/>
    <w:styleLink w:val="ListBullets"/>
    <w:lvl w:ilvl="0">
      <w:start w:val="1"/>
      <w:numFmt w:val="bullet"/>
      <w:pStyle w:val="ListBullet"/>
      <w:lvlText w:val=""/>
      <w:lvlJc w:val="left"/>
      <w:pPr>
        <w:ind w:left="4535"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26" w15:restartNumberingAfterBreak="0">
    <w:nsid w:val="507C5FE2"/>
    <w:multiLevelType w:val="hybridMultilevel"/>
    <w:tmpl w:val="61DC93FC"/>
    <w:lvl w:ilvl="0" w:tplc="39EC5F0A">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24A7A"/>
    <w:multiLevelType w:val="multilevel"/>
    <w:tmpl w:val="CA8A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34172"/>
    <w:multiLevelType w:val="hybridMultilevel"/>
    <w:tmpl w:val="B3C067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C05F04"/>
    <w:multiLevelType w:val="multilevel"/>
    <w:tmpl w:val="C786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877CDF"/>
    <w:multiLevelType w:val="hybridMultilevel"/>
    <w:tmpl w:val="808CF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943153"/>
    <w:multiLevelType w:val="multilevel"/>
    <w:tmpl w:val="FFD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6B29C8"/>
    <w:multiLevelType w:val="multilevel"/>
    <w:tmpl w:val="340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655795"/>
    <w:multiLevelType w:val="hybridMultilevel"/>
    <w:tmpl w:val="4BFEC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6E7A09B6"/>
    <w:multiLevelType w:val="multilevel"/>
    <w:tmpl w:val="888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8A7778"/>
    <w:multiLevelType w:val="hybridMultilevel"/>
    <w:tmpl w:val="49442F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76213416"/>
    <w:multiLevelType w:val="hybridMultilevel"/>
    <w:tmpl w:val="16949B3C"/>
    <w:lvl w:ilvl="0" w:tplc="0B4802E2">
      <w:start w:val="1"/>
      <w:numFmt w:val="bullet"/>
      <w:lvlText w:val="-"/>
      <w:lvlJc w:val="left"/>
      <w:pPr>
        <w:ind w:left="284" w:hanging="360"/>
      </w:pPr>
      <w:rPr>
        <w:rFonts w:ascii="Trebuchet MS" w:eastAsia="Calibri" w:hAnsi="Trebuchet MS" w:cstheme="minorBidi"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37" w15:restartNumberingAfterBreak="0">
    <w:nsid w:val="78FF2512"/>
    <w:multiLevelType w:val="hybridMultilevel"/>
    <w:tmpl w:val="C2BAD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B64D51"/>
    <w:multiLevelType w:val="multilevel"/>
    <w:tmpl w:val="A0F8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A65AAC"/>
    <w:multiLevelType w:val="hybridMultilevel"/>
    <w:tmpl w:val="641E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6"/>
  </w:num>
  <w:num w:numId="7">
    <w:abstractNumId w:val="9"/>
  </w:num>
  <w:num w:numId="8">
    <w:abstractNumId w:val="28"/>
  </w:num>
  <w:num w:numId="9">
    <w:abstractNumId w:val="18"/>
  </w:num>
  <w:num w:numId="10">
    <w:abstractNumId w:val="26"/>
  </w:num>
  <w:num w:numId="11">
    <w:abstractNumId w:val="1"/>
  </w:num>
  <w:num w:numId="12">
    <w:abstractNumId w:val="23"/>
  </w:num>
  <w:num w:numId="13">
    <w:abstractNumId w:val="31"/>
  </w:num>
  <w:num w:numId="14">
    <w:abstractNumId w:val="2"/>
  </w:num>
  <w:num w:numId="15">
    <w:abstractNumId w:val="21"/>
  </w:num>
  <w:num w:numId="16">
    <w:abstractNumId w:val="38"/>
  </w:num>
  <w:num w:numId="17">
    <w:abstractNumId w:val="29"/>
  </w:num>
  <w:num w:numId="18">
    <w:abstractNumId w:val="32"/>
  </w:num>
  <w:num w:numId="19">
    <w:abstractNumId w:val="17"/>
  </w:num>
  <w:num w:numId="20">
    <w:abstractNumId w:val="27"/>
  </w:num>
  <w:num w:numId="21">
    <w:abstractNumId w:val="34"/>
  </w:num>
  <w:num w:numId="22">
    <w:abstractNumId w:val="30"/>
  </w:num>
  <w:num w:numId="23">
    <w:abstractNumId w:val="24"/>
  </w:num>
  <w:num w:numId="24">
    <w:abstractNumId w:val="25"/>
  </w:num>
  <w:num w:numId="25">
    <w:abstractNumId w:val="19"/>
    <w:lvlOverride w:ilvl="1">
      <w:lvl w:ilvl="1">
        <w:start w:val="1"/>
        <w:numFmt w:val="bullet"/>
        <w:pStyle w:val="ListBullet2"/>
        <w:lvlText w:val="o"/>
        <w:lvlJc w:val="left"/>
        <w:pPr>
          <w:ind w:left="851" w:hanging="283"/>
        </w:pPr>
        <w:rPr>
          <w:rFonts w:ascii="Courier New" w:hAnsi="Courier New" w:hint="default"/>
          <w:color w:val="auto"/>
        </w:rPr>
      </w:lvl>
    </w:lvlOverride>
  </w:num>
  <w:num w:numId="26">
    <w:abstractNumId w:val="11"/>
  </w:num>
  <w:num w:numId="27">
    <w:abstractNumId w:val="39"/>
  </w:num>
  <w:num w:numId="28">
    <w:abstractNumId w:val="12"/>
  </w:num>
  <w:num w:numId="29">
    <w:abstractNumId w:val="33"/>
  </w:num>
  <w:num w:numId="30">
    <w:abstractNumId w:val="20"/>
  </w:num>
  <w:num w:numId="31">
    <w:abstractNumId w:val="5"/>
  </w:num>
  <w:num w:numId="32">
    <w:abstractNumId w:val="3"/>
  </w:num>
  <w:num w:numId="33">
    <w:abstractNumId w:val="37"/>
  </w:num>
  <w:num w:numId="34">
    <w:abstractNumId w:val="22"/>
  </w:num>
  <w:num w:numId="35">
    <w:abstractNumId w:val="15"/>
  </w:num>
  <w:num w:numId="36">
    <w:abstractNumId w:val="35"/>
  </w:num>
  <w:num w:numId="37">
    <w:abstractNumId w:val="10"/>
  </w:num>
  <w:num w:numId="38">
    <w:abstractNumId w:val="4"/>
  </w:num>
  <w:num w:numId="39">
    <w:abstractNumId w:val="1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21EC"/>
    <w:rsid w:val="000057E7"/>
    <w:rsid w:val="00010F9C"/>
    <w:rsid w:val="00022032"/>
    <w:rsid w:val="00031A77"/>
    <w:rsid w:val="00045910"/>
    <w:rsid w:val="00053FFD"/>
    <w:rsid w:val="00055E1A"/>
    <w:rsid w:val="00067EBC"/>
    <w:rsid w:val="0009084E"/>
    <w:rsid w:val="00097696"/>
    <w:rsid w:val="000A40D9"/>
    <w:rsid w:val="000B08FF"/>
    <w:rsid w:val="000B33E7"/>
    <w:rsid w:val="000E2517"/>
    <w:rsid w:val="000E58C2"/>
    <w:rsid w:val="00110317"/>
    <w:rsid w:val="00120B2E"/>
    <w:rsid w:val="001222EC"/>
    <w:rsid w:val="0012480C"/>
    <w:rsid w:val="00175F10"/>
    <w:rsid w:val="001769A0"/>
    <w:rsid w:val="001861B6"/>
    <w:rsid w:val="001902A2"/>
    <w:rsid w:val="00191219"/>
    <w:rsid w:val="00192622"/>
    <w:rsid w:val="001A17B0"/>
    <w:rsid w:val="001A71F3"/>
    <w:rsid w:val="001B14A7"/>
    <w:rsid w:val="001D0DFC"/>
    <w:rsid w:val="001E2338"/>
    <w:rsid w:val="001E600A"/>
    <w:rsid w:val="00205EDA"/>
    <w:rsid w:val="0021292E"/>
    <w:rsid w:val="00220023"/>
    <w:rsid w:val="00222477"/>
    <w:rsid w:val="00241174"/>
    <w:rsid w:val="00275104"/>
    <w:rsid w:val="002B76CF"/>
    <w:rsid w:val="002C02B6"/>
    <w:rsid w:val="002C5E40"/>
    <w:rsid w:val="002E459D"/>
    <w:rsid w:val="002F0FE5"/>
    <w:rsid w:val="00317738"/>
    <w:rsid w:val="00324103"/>
    <w:rsid w:val="00330A71"/>
    <w:rsid w:val="0033447C"/>
    <w:rsid w:val="00335A87"/>
    <w:rsid w:val="00343871"/>
    <w:rsid w:val="00350426"/>
    <w:rsid w:val="0035597A"/>
    <w:rsid w:val="00356083"/>
    <w:rsid w:val="00382046"/>
    <w:rsid w:val="00386C10"/>
    <w:rsid w:val="0039763B"/>
    <w:rsid w:val="003B4C57"/>
    <w:rsid w:val="003E247E"/>
    <w:rsid w:val="003F156A"/>
    <w:rsid w:val="003F1B00"/>
    <w:rsid w:val="00406341"/>
    <w:rsid w:val="0043034E"/>
    <w:rsid w:val="004402E0"/>
    <w:rsid w:val="00451DBF"/>
    <w:rsid w:val="00491CAE"/>
    <w:rsid w:val="004A01A1"/>
    <w:rsid w:val="004B4F3F"/>
    <w:rsid w:val="004C55E2"/>
    <w:rsid w:val="004C5F11"/>
    <w:rsid w:val="004E3FBC"/>
    <w:rsid w:val="004F7800"/>
    <w:rsid w:val="00515DF5"/>
    <w:rsid w:val="00532D0B"/>
    <w:rsid w:val="00534BC8"/>
    <w:rsid w:val="00540A5F"/>
    <w:rsid w:val="00546F37"/>
    <w:rsid w:val="00553A07"/>
    <w:rsid w:val="00553A5B"/>
    <w:rsid w:val="00556C21"/>
    <w:rsid w:val="00572617"/>
    <w:rsid w:val="005728AA"/>
    <w:rsid w:val="00573FF3"/>
    <w:rsid w:val="005868A5"/>
    <w:rsid w:val="00590DE4"/>
    <w:rsid w:val="00597EFF"/>
    <w:rsid w:val="005C5929"/>
    <w:rsid w:val="005C7848"/>
    <w:rsid w:val="005D0BBE"/>
    <w:rsid w:val="005D34A9"/>
    <w:rsid w:val="005D5211"/>
    <w:rsid w:val="005E22F8"/>
    <w:rsid w:val="005E7EA4"/>
    <w:rsid w:val="005F4B43"/>
    <w:rsid w:val="00601472"/>
    <w:rsid w:val="00603259"/>
    <w:rsid w:val="006049B9"/>
    <w:rsid w:val="00620FEF"/>
    <w:rsid w:val="00621B03"/>
    <w:rsid w:val="00624147"/>
    <w:rsid w:val="00626FBD"/>
    <w:rsid w:val="00635D89"/>
    <w:rsid w:val="00647D3F"/>
    <w:rsid w:val="00650CA8"/>
    <w:rsid w:val="00651330"/>
    <w:rsid w:val="00655D83"/>
    <w:rsid w:val="00662E7B"/>
    <w:rsid w:val="00670AF3"/>
    <w:rsid w:val="00691275"/>
    <w:rsid w:val="006B2CEF"/>
    <w:rsid w:val="006C0364"/>
    <w:rsid w:val="006C6C51"/>
    <w:rsid w:val="006E6C64"/>
    <w:rsid w:val="007140F7"/>
    <w:rsid w:val="00726E0A"/>
    <w:rsid w:val="007365D2"/>
    <w:rsid w:val="007510BE"/>
    <w:rsid w:val="0075200B"/>
    <w:rsid w:val="0075294A"/>
    <w:rsid w:val="00753944"/>
    <w:rsid w:val="00774B8C"/>
    <w:rsid w:val="007829A2"/>
    <w:rsid w:val="00782E93"/>
    <w:rsid w:val="00793F7E"/>
    <w:rsid w:val="00797E57"/>
    <w:rsid w:val="007B7FAF"/>
    <w:rsid w:val="007C0068"/>
    <w:rsid w:val="007C18BA"/>
    <w:rsid w:val="007E03F5"/>
    <w:rsid w:val="007E4006"/>
    <w:rsid w:val="008037BE"/>
    <w:rsid w:val="00803ADE"/>
    <w:rsid w:val="00814493"/>
    <w:rsid w:val="008159EF"/>
    <w:rsid w:val="008230D2"/>
    <w:rsid w:val="00835B36"/>
    <w:rsid w:val="008402E9"/>
    <w:rsid w:val="00847AA5"/>
    <w:rsid w:val="00850DDB"/>
    <w:rsid w:val="00867070"/>
    <w:rsid w:val="00870D5C"/>
    <w:rsid w:val="0088472F"/>
    <w:rsid w:val="008865D9"/>
    <w:rsid w:val="008A5698"/>
    <w:rsid w:val="008A714F"/>
    <w:rsid w:val="008C327E"/>
    <w:rsid w:val="008C7A39"/>
    <w:rsid w:val="008D3308"/>
    <w:rsid w:val="00916F4B"/>
    <w:rsid w:val="00921158"/>
    <w:rsid w:val="00930934"/>
    <w:rsid w:val="0094467A"/>
    <w:rsid w:val="009563DE"/>
    <w:rsid w:val="0097092F"/>
    <w:rsid w:val="00973969"/>
    <w:rsid w:val="00980BA0"/>
    <w:rsid w:val="0098177F"/>
    <w:rsid w:val="009849A5"/>
    <w:rsid w:val="00986342"/>
    <w:rsid w:val="009863AD"/>
    <w:rsid w:val="009A6DC3"/>
    <w:rsid w:val="009B1A2A"/>
    <w:rsid w:val="009D2208"/>
    <w:rsid w:val="009D480E"/>
    <w:rsid w:val="009E40A2"/>
    <w:rsid w:val="00A0035D"/>
    <w:rsid w:val="00A0049C"/>
    <w:rsid w:val="00A16AE7"/>
    <w:rsid w:val="00A52283"/>
    <w:rsid w:val="00A54A85"/>
    <w:rsid w:val="00A54C19"/>
    <w:rsid w:val="00A627AC"/>
    <w:rsid w:val="00A638BD"/>
    <w:rsid w:val="00A6572F"/>
    <w:rsid w:val="00A664A9"/>
    <w:rsid w:val="00A67FC2"/>
    <w:rsid w:val="00A72934"/>
    <w:rsid w:val="00A73F0E"/>
    <w:rsid w:val="00A806D7"/>
    <w:rsid w:val="00A80AD3"/>
    <w:rsid w:val="00A86ABE"/>
    <w:rsid w:val="00AB369F"/>
    <w:rsid w:val="00AC7A2D"/>
    <w:rsid w:val="00AE16F9"/>
    <w:rsid w:val="00AE1B71"/>
    <w:rsid w:val="00AF6F16"/>
    <w:rsid w:val="00B026D9"/>
    <w:rsid w:val="00B115B6"/>
    <w:rsid w:val="00B14418"/>
    <w:rsid w:val="00B20DF2"/>
    <w:rsid w:val="00B3147E"/>
    <w:rsid w:val="00B331B9"/>
    <w:rsid w:val="00B44FE1"/>
    <w:rsid w:val="00B61DBE"/>
    <w:rsid w:val="00B66976"/>
    <w:rsid w:val="00B738D0"/>
    <w:rsid w:val="00B83794"/>
    <w:rsid w:val="00B872E2"/>
    <w:rsid w:val="00B91210"/>
    <w:rsid w:val="00BA5179"/>
    <w:rsid w:val="00BA5C63"/>
    <w:rsid w:val="00BA78B0"/>
    <w:rsid w:val="00BB30DB"/>
    <w:rsid w:val="00BC280E"/>
    <w:rsid w:val="00BD43E2"/>
    <w:rsid w:val="00C15BA7"/>
    <w:rsid w:val="00C1649F"/>
    <w:rsid w:val="00C16668"/>
    <w:rsid w:val="00C240B9"/>
    <w:rsid w:val="00C405D0"/>
    <w:rsid w:val="00C42AC0"/>
    <w:rsid w:val="00C510AC"/>
    <w:rsid w:val="00C53790"/>
    <w:rsid w:val="00C63B08"/>
    <w:rsid w:val="00C70FD2"/>
    <w:rsid w:val="00C721BD"/>
    <w:rsid w:val="00C74187"/>
    <w:rsid w:val="00C7791A"/>
    <w:rsid w:val="00C83097"/>
    <w:rsid w:val="00C9479B"/>
    <w:rsid w:val="00C97B37"/>
    <w:rsid w:val="00C97D99"/>
    <w:rsid w:val="00CA523D"/>
    <w:rsid w:val="00CC535E"/>
    <w:rsid w:val="00CD1F99"/>
    <w:rsid w:val="00CF3B5A"/>
    <w:rsid w:val="00CF63D3"/>
    <w:rsid w:val="00D0608D"/>
    <w:rsid w:val="00D10CAA"/>
    <w:rsid w:val="00D179C9"/>
    <w:rsid w:val="00D23510"/>
    <w:rsid w:val="00D3448B"/>
    <w:rsid w:val="00D37997"/>
    <w:rsid w:val="00D44B45"/>
    <w:rsid w:val="00D44C12"/>
    <w:rsid w:val="00D61B83"/>
    <w:rsid w:val="00D6340C"/>
    <w:rsid w:val="00D65BDE"/>
    <w:rsid w:val="00D777A4"/>
    <w:rsid w:val="00D77B96"/>
    <w:rsid w:val="00D84D81"/>
    <w:rsid w:val="00D92FAE"/>
    <w:rsid w:val="00DB75D5"/>
    <w:rsid w:val="00DF03A9"/>
    <w:rsid w:val="00E00F6B"/>
    <w:rsid w:val="00E06DDE"/>
    <w:rsid w:val="00E33CCA"/>
    <w:rsid w:val="00E426BD"/>
    <w:rsid w:val="00E46FFA"/>
    <w:rsid w:val="00E7726B"/>
    <w:rsid w:val="00E838C5"/>
    <w:rsid w:val="00E84845"/>
    <w:rsid w:val="00E952A4"/>
    <w:rsid w:val="00EA7147"/>
    <w:rsid w:val="00EA7992"/>
    <w:rsid w:val="00EB354A"/>
    <w:rsid w:val="00EC7026"/>
    <w:rsid w:val="00ED103D"/>
    <w:rsid w:val="00ED7AD3"/>
    <w:rsid w:val="00EE4A4B"/>
    <w:rsid w:val="00F15BA5"/>
    <w:rsid w:val="00F31EFA"/>
    <w:rsid w:val="00F6760D"/>
    <w:rsid w:val="00F74FD1"/>
    <w:rsid w:val="00F973D3"/>
    <w:rsid w:val="00FC6D43"/>
    <w:rsid w:val="00FC70FE"/>
    <w:rsid w:val="00FD1E5A"/>
    <w:rsid w:val="00FF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chartTrackingRefBased/>
  <w15:docId w15:val="{467D0F42-D549-4C06-B60A-34F87A2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aliases w:val="Normal bullet 2,List Paragraph1"/>
    <w:basedOn w:val="Normal"/>
    <w:link w:val="ListParagraphChar"/>
    <w:uiPriority w:val="34"/>
    <w:qFormat/>
    <w:rsid w:val="00980BA0"/>
    <w:pPr>
      <w:spacing w:line="240" w:lineRule="auto"/>
      <w:ind w:left="720" w:firstLine="0"/>
    </w:pPr>
    <w:rPr>
      <w:rFonts w:eastAsia="Times New Roman" w:cs="Times New Roman"/>
      <w:sz w:val="24"/>
      <w:szCs w:val="24"/>
    </w:rPr>
  </w:style>
  <w:style w:type="character" w:customStyle="1" w:styleId="ListParagraphChar">
    <w:name w:val="List Paragraph Char"/>
    <w:aliases w:val="Normal bullet 2 Char,List Paragraph1 Char"/>
    <w:link w:val="ListParagraph"/>
    <w:uiPriority w:val="34"/>
    <w:locked/>
    <w:rsid w:val="00980BA0"/>
    <w:rPr>
      <w:rFonts w:ascii="Arial" w:eastAsia="Times New Roman" w:hAnsi="Arial" w:cs="Times New Roman"/>
      <w:sz w:val="24"/>
      <w:szCs w:val="24"/>
      <w:lang w:val="ro-RO"/>
    </w:rPr>
  </w:style>
  <w:style w:type="paragraph" w:styleId="BalloonText">
    <w:name w:val="Balloon Text"/>
    <w:basedOn w:val="Normal"/>
    <w:link w:val="BalloonTextChar"/>
    <w:uiPriority w:val="99"/>
    <w:semiHidden/>
    <w:unhideWhenUsed/>
    <w:rsid w:val="002C0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2B6"/>
    <w:rPr>
      <w:rFonts w:ascii="Segoe UI" w:hAnsi="Segoe UI" w:cs="Segoe UI"/>
      <w:sz w:val="18"/>
      <w:szCs w:val="18"/>
      <w:lang w:val="ro-RO"/>
    </w:rPr>
  </w:style>
  <w:style w:type="paragraph" w:styleId="NoSpacing">
    <w:name w:val="No Spacing"/>
    <w:uiPriority w:val="1"/>
    <w:qFormat/>
    <w:rsid w:val="00C97B37"/>
    <w:pPr>
      <w:spacing w:after="0" w:line="240" w:lineRule="auto"/>
      <w:ind w:firstLine="720"/>
    </w:pPr>
    <w:rPr>
      <w:rFonts w:ascii="Arial" w:hAnsi="Arial"/>
      <w:lang w:val="ro-RO"/>
    </w:rPr>
  </w:style>
  <w:style w:type="paragraph" w:styleId="ListBullet">
    <w:name w:val="List Bullet"/>
    <w:basedOn w:val="Normal"/>
    <w:uiPriority w:val="2"/>
    <w:unhideWhenUsed/>
    <w:qFormat/>
    <w:rsid w:val="00C15BA7"/>
    <w:pPr>
      <w:numPr>
        <w:numId w:val="25"/>
      </w:numPr>
      <w:spacing w:before="120" w:after="120" w:line="266" w:lineRule="auto"/>
      <w:ind w:left="284" w:hanging="284"/>
    </w:pPr>
    <w:rPr>
      <w:rFonts w:asciiTheme="minorHAnsi" w:hAnsiTheme="minorHAnsi" w:cs="Calibri"/>
      <w:sz w:val="21"/>
      <w:lang w:val="en-GB"/>
    </w:rPr>
  </w:style>
  <w:style w:type="paragraph" w:styleId="ListBullet2">
    <w:name w:val="List Bullet 2"/>
    <w:basedOn w:val="ListBullet"/>
    <w:uiPriority w:val="2"/>
    <w:unhideWhenUsed/>
    <w:rsid w:val="00C15BA7"/>
    <w:pPr>
      <w:numPr>
        <w:ilvl w:val="1"/>
      </w:numPr>
      <w:ind w:hanging="284"/>
    </w:pPr>
  </w:style>
  <w:style w:type="paragraph" w:styleId="ListBullet3">
    <w:name w:val="List Bullet 3"/>
    <w:basedOn w:val="ListBullet"/>
    <w:uiPriority w:val="2"/>
    <w:unhideWhenUsed/>
    <w:rsid w:val="00C15BA7"/>
    <w:pPr>
      <w:numPr>
        <w:ilvl w:val="2"/>
      </w:numPr>
      <w:ind w:hanging="284"/>
    </w:pPr>
  </w:style>
  <w:style w:type="paragraph" w:styleId="ListBullet4">
    <w:name w:val="List Bullet 4"/>
    <w:basedOn w:val="ListBullet"/>
    <w:uiPriority w:val="2"/>
    <w:unhideWhenUsed/>
    <w:rsid w:val="00C15BA7"/>
    <w:pPr>
      <w:numPr>
        <w:ilvl w:val="3"/>
      </w:numPr>
      <w:ind w:left="1418" w:hanging="284"/>
    </w:pPr>
  </w:style>
  <w:style w:type="paragraph" w:styleId="ListBullet5">
    <w:name w:val="List Bullet 5"/>
    <w:basedOn w:val="ListBullet"/>
    <w:uiPriority w:val="2"/>
    <w:unhideWhenUsed/>
    <w:rsid w:val="00C15BA7"/>
    <w:pPr>
      <w:numPr>
        <w:ilvl w:val="4"/>
      </w:numPr>
      <w:ind w:left="1702" w:hanging="284"/>
    </w:pPr>
  </w:style>
  <w:style w:type="numbering" w:customStyle="1" w:styleId="ListBullets">
    <w:name w:val="List Bullets"/>
    <w:uiPriority w:val="99"/>
    <w:rsid w:val="00C15BA7"/>
    <w:pPr>
      <w:numPr>
        <w:numId w:val="24"/>
      </w:numPr>
    </w:pPr>
  </w:style>
  <w:style w:type="paragraph" w:styleId="NormalWeb">
    <w:name w:val="Normal (Web)"/>
    <w:basedOn w:val="Normal"/>
    <w:uiPriority w:val="99"/>
    <w:unhideWhenUsed/>
    <w:rsid w:val="001769A0"/>
    <w:pPr>
      <w:spacing w:before="100" w:beforeAutospacing="1" w:after="100" w:afterAutospacing="1" w:line="240" w:lineRule="auto"/>
      <w:ind w:firstLine="0"/>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1769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F5D0F-7AE5-4BFD-A100-BCC4B328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Dombi Istvan</dc:creator>
  <cp:keywords/>
  <dc:description/>
  <cp:lastModifiedBy>Maria</cp:lastModifiedBy>
  <cp:revision>2</cp:revision>
  <cp:lastPrinted>2023-11-27T09:13:00Z</cp:lastPrinted>
  <dcterms:created xsi:type="dcterms:W3CDTF">2024-06-10T15:11:00Z</dcterms:created>
  <dcterms:modified xsi:type="dcterms:W3CDTF">2024-06-10T15:11:00Z</dcterms:modified>
</cp:coreProperties>
</file>